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60"/>
        <w:contextualSpacing/>
        <w:jc w:val="center"/>
        <w:rPr>
          <w:rFonts w:ascii="Times New Roman" w:hAnsi="Times New Roman"/>
          <w:b/>
          <w:b/>
          <w:sz w:val="24"/>
          <w:szCs w:val="24"/>
        </w:rPr>
      </w:pPr>
      <w:r>
        <w:rPr>
          <w:rFonts w:ascii="Times New Roman" w:hAnsi="Times New Roman"/>
          <w:b/>
          <w:sz w:val="24"/>
          <w:szCs w:val="24"/>
        </w:rPr>
        <w:t xml:space="preserve">СЕЛЬСКИЙ СОВЕТ </w:t>
      </w:r>
    </w:p>
    <w:p>
      <w:pPr>
        <w:pStyle w:val="Normal"/>
        <w:spacing w:before="0" w:after="160"/>
        <w:contextualSpacing/>
        <w:jc w:val="center"/>
        <w:rPr>
          <w:rFonts w:ascii="Times New Roman" w:hAnsi="Times New Roman"/>
          <w:b/>
          <w:b/>
          <w:sz w:val="24"/>
          <w:szCs w:val="24"/>
        </w:rPr>
      </w:pPr>
      <w:r>
        <w:rPr>
          <w:rFonts w:ascii="Times New Roman" w:hAnsi="Times New Roman"/>
          <w:b/>
          <w:sz w:val="24"/>
          <w:szCs w:val="24"/>
        </w:rPr>
        <w:t>БЕРЕСЛАВСКОГО СЕЛЬСКОГО ПОСЕЛЕНИЯ</w:t>
      </w:r>
    </w:p>
    <w:p>
      <w:pPr>
        <w:pStyle w:val="Normal"/>
        <w:spacing w:before="0" w:after="160"/>
        <w:contextualSpacing/>
        <w:jc w:val="center"/>
        <w:rPr>
          <w:rFonts w:ascii="Times New Roman" w:hAnsi="Times New Roman"/>
          <w:b/>
          <w:b/>
          <w:sz w:val="24"/>
          <w:szCs w:val="24"/>
        </w:rPr>
      </w:pPr>
      <w:r>
        <w:rPr>
          <w:rFonts w:ascii="Times New Roman" w:hAnsi="Times New Roman"/>
          <w:b/>
          <w:sz w:val="24"/>
          <w:szCs w:val="24"/>
        </w:rPr>
        <w:t>КАЛАЧЕВСКОГО МУНИЦИПАЛЬНОГО РАЙОНА</w:t>
      </w:r>
    </w:p>
    <w:p>
      <w:pPr>
        <w:pStyle w:val="Normal"/>
        <w:pBdr>
          <w:bottom w:val="double" w:sz="6" w:space="1" w:color="000000"/>
        </w:pBdr>
        <w:spacing w:before="0" w:after="160"/>
        <w:contextualSpacing/>
        <w:jc w:val="center"/>
        <w:rPr>
          <w:rFonts w:ascii="Times New Roman" w:hAnsi="Times New Roman"/>
          <w:b/>
          <w:b/>
          <w:sz w:val="24"/>
          <w:szCs w:val="24"/>
        </w:rPr>
      </w:pPr>
      <w:r>
        <w:rPr>
          <w:rFonts w:ascii="Times New Roman" w:hAnsi="Times New Roman"/>
          <w:b/>
          <w:sz w:val="24"/>
          <w:szCs w:val="24"/>
        </w:rPr>
        <w:t>ВОЛГОГРАДСКОЙ ОБЛАСТИ</w:t>
      </w:r>
    </w:p>
    <w:p>
      <w:pPr>
        <w:pStyle w:val="Normal"/>
        <w:spacing w:before="0" w:after="160"/>
        <w:ind w:firstLine="142"/>
        <w:contextualSpacing/>
        <w:jc w:val="center"/>
        <w:rPr>
          <w:rFonts w:ascii="Times New Roman" w:hAnsi="Times New Roman"/>
          <w:b/>
          <w:b/>
          <w:sz w:val="24"/>
          <w:szCs w:val="24"/>
        </w:rPr>
      </w:pPr>
      <w:r>
        <w:rPr>
          <w:rFonts w:ascii="Times New Roman" w:hAnsi="Times New Roman"/>
          <w:b/>
          <w:sz w:val="24"/>
          <w:szCs w:val="24"/>
        </w:rPr>
      </w:r>
    </w:p>
    <w:p>
      <w:pPr>
        <w:pStyle w:val="Normal"/>
        <w:spacing w:before="0" w:after="160"/>
        <w:ind w:firstLine="142"/>
        <w:contextualSpacing/>
        <w:jc w:val="center"/>
        <w:rPr>
          <w:rFonts w:ascii="Times New Roman" w:hAnsi="Times New Roman"/>
          <w:b/>
          <w:b/>
          <w:sz w:val="24"/>
          <w:szCs w:val="24"/>
        </w:rPr>
      </w:pPr>
      <w:r>
        <w:rPr>
          <w:rFonts w:ascii="Times New Roman" w:hAnsi="Times New Roman"/>
          <w:b/>
          <w:sz w:val="24"/>
          <w:szCs w:val="24"/>
        </w:rPr>
        <w:t xml:space="preserve">РЕШЕНИЕ  </w:t>
      </w:r>
    </w:p>
    <w:p>
      <w:pPr>
        <w:pStyle w:val="Normal"/>
        <w:spacing w:before="0" w:after="160"/>
        <w:contextualSpacing/>
        <w:jc w:val="center"/>
        <w:rPr>
          <w:b/>
          <w:b/>
          <w:sz w:val="28"/>
          <w:szCs w:val="28"/>
        </w:rPr>
      </w:pPr>
      <w:r>
        <w:rPr>
          <w:rFonts w:ascii="Times New Roman" w:hAnsi="Times New Roman"/>
          <w:b/>
          <w:sz w:val="28"/>
          <w:szCs w:val="28"/>
        </w:rPr>
        <w:t xml:space="preserve"> </w:t>
      </w:r>
      <w:r>
        <w:rPr>
          <w:rFonts w:ascii="Times New Roman" w:hAnsi="Times New Roman"/>
          <w:b/>
          <w:sz w:val="28"/>
          <w:szCs w:val="28"/>
        </w:rPr>
        <w:t>14-ое очередное заседание</w:t>
      </w:r>
    </w:p>
    <w:p>
      <w:pPr>
        <w:pStyle w:val="Normal"/>
        <w:spacing w:before="0" w:after="160"/>
        <w:contextualSpacing/>
        <w:rPr>
          <w:rFonts w:ascii="Times New Roman" w:hAnsi="Times New Roman"/>
          <w:b/>
          <w:b/>
          <w:sz w:val="24"/>
          <w:szCs w:val="24"/>
        </w:rPr>
      </w:pPr>
      <w:r>
        <w:rPr>
          <w:rFonts w:ascii="Times New Roman" w:hAnsi="Times New Roman"/>
          <w:b/>
          <w:sz w:val="24"/>
          <w:szCs w:val="24"/>
        </w:rPr>
        <w:t xml:space="preserve">от «05» марта 2025 г.     </w:t>
        <w:tab/>
        <w:tab/>
        <w:t xml:space="preserve">                                                              № 04 </w:t>
      </w:r>
    </w:p>
    <w:p>
      <w:pPr>
        <w:pStyle w:val="NormalWeb"/>
        <w:spacing w:lineRule="atLeast" w:line="180" w:beforeAutospacing="0" w:before="280" w:afterAutospacing="0" w:after="0"/>
        <w:jc w:val="center"/>
        <w:rPr>
          <w:b/>
          <w:b/>
        </w:rPr>
      </w:pPr>
      <w:r>
        <w:rPr>
          <w:b/>
        </w:rPr>
        <w:t xml:space="preserve">О внесении изменений в Порядок размещения нестационарных торговых объектов на территории Береславского сельского поселения Калачевского муниципального района Волгоградской области, утвержденным, Решением сельского Совета Береславского сельского поселения  Калачевского муниципального района Волгоградской области от 23 декабря 2022 г. № 61 </w:t>
      </w:r>
    </w:p>
    <w:p>
      <w:pPr>
        <w:pStyle w:val="NormalWeb"/>
        <w:spacing w:lineRule="atLeast" w:line="180" w:beforeAutospacing="0" w:before="280" w:afterAutospacing="0" w:after="0"/>
        <w:jc w:val="center"/>
        <w:rPr>
          <w:b/>
          <w:b/>
          <w:sz w:val="28"/>
          <w:szCs w:val="28"/>
        </w:rPr>
      </w:pPr>
      <w:r>
        <w:rPr>
          <w:b/>
          <w:sz w:val="28"/>
          <w:szCs w:val="28"/>
        </w:rPr>
      </w:r>
    </w:p>
    <w:p>
      <w:pPr>
        <w:pStyle w:val="NormalWeb"/>
        <w:spacing w:lineRule="atLeast" w:line="288" w:beforeAutospacing="0" w:before="280" w:afterAutospacing="0" w:after="0"/>
        <w:ind w:firstLine="708"/>
        <w:jc w:val="both"/>
        <w:rPr/>
      </w:pPr>
      <w:r>
        <w:rPr>
          <w:sz w:val="28"/>
          <w:szCs w:val="28"/>
          <w:lang w:eastAsia="zh-CN"/>
        </w:rPr>
        <w:t xml:space="preserve">В соответствии с Федеральным </w:t>
      </w:r>
      <w:hyperlink r:id="rId2">
        <w:r>
          <w:rPr>
            <w:sz w:val="28"/>
            <w:szCs w:val="28"/>
            <w:lang w:eastAsia="zh-CN"/>
          </w:rPr>
          <w:t>закон</w:t>
        </w:r>
      </w:hyperlink>
      <w:r>
        <w:rPr>
          <w:sz w:val="28"/>
          <w:szCs w:val="28"/>
          <w:lang w:eastAsia="zh-CN"/>
        </w:rPr>
        <w:t xml:space="preserve">ом от 06.10.2003 № 131-ФЗ </w:t>
        <w:br/>
        <w:t>«Об общих принципах организации местного самоуправления в Российской Федерации», с частью 3 статьи 10 Федерального закона от 28.12.2009 года №381-ФЗ «Об основах государственного регулирования торговой деятельности в Российской Федерации»  приказом комитета промышленности и торговли Волгоградской области от 04 февраля 2016 г. № 14-од «Об утверждении Порядка разработки и утверждения схем размещения нестационарных торговых объектов на территории Волгоградской области»</w:t>
      </w:r>
      <w:r>
        <w:rPr/>
        <w:t xml:space="preserve">, </w:t>
      </w:r>
      <w:r>
        <w:rPr>
          <w:sz w:val="28"/>
          <w:szCs w:val="28"/>
        </w:rPr>
        <w:t>руководствуясь Уставом Береславског</w:t>
      </w:r>
      <w:bookmarkStart w:id="0" w:name="_GoBack"/>
      <w:bookmarkEnd w:id="0"/>
      <w:r>
        <w:rPr>
          <w:sz w:val="28"/>
          <w:szCs w:val="28"/>
        </w:rPr>
        <w:t>о сельского поселения Калачевского муниципального района Волгоградской области, сельский Совет Береславского сельского поселения Калачевского муниципального района Волгоградской области р е ш и л(а):</w:t>
      </w:r>
    </w:p>
    <w:p>
      <w:pPr>
        <w:pStyle w:val="NormalWeb"/>
        <w:spacing w:lineRule="exact" w:line="240" w:beforeAutospacing="0" w:before="280" w:afterAutospacing="0" w:after="0"/>
        <w:jc w:val="center"/>
        <w:rPr>
          <w:sz w:val="28"/>
          <w:szCs w:val="28"/>
        </w:rPr>
      </w:pPr>
      <w:r>
        <w:rPr>
          <w:sz w:val="28"/>
          <w:szCs w:val="28"/>
        </w:rPr>
      </w:r>
    </w:p>
    <w:p>
      <w:pPr>
        <w:pStyle w:val="NormalWeb"/>
        <w:spacing w:lineRule="atLeast" w:line="180" w:beforeAutospacing="0" w:before="280" w:afterAutospacing="0" w:after="0"/>
        <w:ind w:firstLine="540"/>
        <w:jc w:val="both"/>
        <w:rPr>
          <w:sz w:val="28"/>
          <w:szCs w:val="28"/>
        </w:rPr>
      </w:pPr>
      <w:r>
        <w:rPr>
          <w:sz w:val="28"/>
          <w:szCs w:val="28"/>
        </w:rPr>
        <w:t>1. Внести в Порядок размещения нестационарных торговых объектов на территории Береславского сельского поселения Калачевского муниципального района Волгоградской области, утвержденным Решением сельского Совета Береславского сельского поселения  Калачевского муниципального района Волгоградской области от 23 декабря 2022 г. №  61 «Об утверждении Порядка размещения нестационарных торговых объектов на территории Береславского сельского поселения Калачевского муниципального района Волгоградской области»,  следующие изменения:</w:t>
      </w:r>
    </w:p>
    <w:p>
      <w:pPr>
        <w:pStyle w:val="NormalWeb"/>
        <w:spacing w:beforeAutospacing="0" w:before="280" w:afterAutospacing="0" w:after="0"/>
        <w:ind w:firstLine="540"/>
        <w:jc w:val="both"/>
        <w:rPr>
          <w:sz w:val="28"/>
        </w:rPr>
      </w:pPr>
      <w:r>
        <w:rPr>
          <w:sz w:val="28"/>
        </w:rPr>
        <w:t>1.1. пункт 1.2.1 изложить в следующей редакции:</w:t>
      </w:r>
    </w:p>
    <w:p>
      <w:pPr>
        <w:pStyle w:val="NormalWeb"/>
        <w:spacing w:beforeAutospacing="0" w:before="280" w:afterAutospacing="0" w:after="0"/>
        <w:ind w:firstLine="540"/>
        <w:jc w:val="both"/>
        <w:rPr>
          <w:sz w:val="28"/>
        </w:rPr>
      </w:pPr>
      <w:r>
        <w:rPr>
          <w:sz w:val="28"/>
        </w:rPr>
        <w:t>«1.2.1. мелкорозничная торговля - разновидность розничной торговли, связанная с реализацией товаров ограниченного ассортимента в торговых объектах и по месту нахождения покупателей, в том числе через передвижные средства развозной и разносной торговли»;</w:t>
      </w:r>
    </w:p>
    <w:p>
      <w:pPr>
        <w:pStyle w:val="NormalWeb"/>
        <w:spacing w:beforeAutospacing="0" w:before="280" w:afterAutospacing="0" w:after="0"/>
        <w:ind w:firstLine="540"/>
        <w:jc w:val="both"/>
        <w:rPr>
          <w:sz w:val="28"/>
        </w:rPr>
      </w:pPr>
      <w:r>
        <w:rPr>
          <w:sz w:val="28"/>
        </w:rPr>
        <w:t>1.2. пункт 1.2.3 изложить в следующей редакции:</w:t>
      </w:r>
    </w:p>
    <w:p>
      <w:pPr>
        <w:pStyle w:val="NormalWeb"/>
        <w:spacing w:beforeAutospacing="0" w:before="280" w:afterAutospacing="0" w:after="0"/>
        <w:ind w:firstLine="540"/>
        <w:jc w:val="both"/>
        <w:rPr>
          <w:sz w:val="28"/>
        </w:rPr>
      </w:pPr>
      <w:r>
        <w:rPr>
          <w:sz w:val="28"/>
        </w:rPr>
        <w:t>«1.2.3. Виды нестационарных торговых объектов:</w:t>
      </w:r>
    </w:p>
    <w:p>
      <w:pPr>
        <w:pStyle w:val="NormalWeb"/>
        <w:spacing w:beforeAutospacing="0" w:before="280" w:afterAutospacing="0" w:after="0"/>
        <w:ind w:firstLine="540"/>
        <w:jc w:val="both"/>
        <w:rPr>
          <w:sz w:val="28"/>
        </w:rPr>
      </w:pPr>
      <w:r>
        <w:rPr>
          <w:sz w:val="28"/>
        </w:rPr>
        <w:t xml:space="preserve">автомагазин (торговый автофургон, автолавка) - нестационарный торговый объект, представляющий собой автотранспортное или транспортное средство (прицеп, полуприцеп) с размещенным в кузове торговым оборудованием, при условии образования в результате его остановки (или установки) одного или нескольких рабочих мест продавцов, на котором(ых) осуществляют предложение товаров, их отпуск и расчет с покупателями; </w:t>
      </w:r>
    </w:p>
    <w:p>
      <w:pPr>
        <w:pStyle w:val="NormalWeb"/>
        <w:spacing w:beforeAutospacing="0" w:before="280" w:afterAutospacing="0" w:after="0"/>
        <w:ind w:firstLine="540"/>
        <w:jc w:val="both"/>
        <w:rPr>
          <w:sz w:val="28"/>
        </w:rPr>
      </w:pPr>
      <w:r>
        <w:rPr>
          <w:sz w:val="28"/>
        </w:rPr>
        <w:t xml:space="preserve">автоцистерна - нестационарный передвижной торговый объект, представляющий собой изотермическую емкость, установленную на базе автотранспортного средства или прицепа (полуприцепа), предназначенную для осуществления развозной торговли жидкими товарами в розлив (молоком, квасом и др.), живой рыбой и другими гидробионтами (ракообразными, моллюсками и пр.); </w:t>
      </w:r>
    </w:p>
    <w:p>
      <w:pPr>
        <w:pStyle w:val="NormalWeb"/>
        <w:spacing w:beforeAutospacing="0" w:before="280" w:afterAutospacing="0" w:after="0"/>
        <w:ind w:firstLine="540"/>
        <w:jc w:val="both"/>
        <w:rPr>
          <w:sz w:val="28"/>
        </w:rPr>
      </w:pPr>
      <w:r>
        <w:rPr>
          <w:sz w:val="28"/>
        </w:rPr>
        <w:t xml:space="preserve">бахчевой развал - нестационарный торговый объект, представляющий собой специально оборудованную временную конструкцию в виде обособленной открытой площадки или установленной торговой палатки, предназначенный для продажи сезонных бахчевых культур; </w:t>
      </w:r>
    </w:p>
    <w:p>
      <w:pPr>
        <w:pStyle w:val="NormalWeb"/>
        <w:spacing w:beforeAutospacing="0" w:before="280" w:afterAutospacing="0" w:after="0"/>
        <w:ind w:firstLine="540"/>
        <w:jc w:val="both"/>
        <w:rPr>
          <w:sz w:val="28"/>
        </w:rPr>
      </w:pPr>
      <w:r>
        <w:rPr>
          <w:sz w:val="28"/>
        </w:rPr>
        <w:t xml:space="preserve">елочный базар - нестационарный торговый объект, представляющий собой специально оборудованную временную конструкцию в виде обособленной открытой площадки для новогодней (рождественской) продажи натуральных хвойных деревьев и веток хвойных деревьев; </w:t>
      </w:r>
    </w:p>
    <w:p>
      <w:pPr>
        <w:pStyle w:val="NormalWeb"/>
        <w:spacing w:beforeAutospacing="0" w:before="280" w:afterAutospacing="0" w:after="0"/>
        <w:ind w:firstLine="540"/>
        <w:jc w:val="both"/>
        <w:rPr>
          <w:sz w:val="28"/>
        </w:rPr>
      </w:pPr>
      <w:r>
        <w:rPr>
          <w:sz w:val="28"/>
        </w:rPr>
        <w:t xml:space="preserve">киоск - нестационарный торговый объект, представляющий собой сооружение без торгового зала с замкнутым пространством, внутри которого оборудовано одно рабочее место продавца и осуществляют хранение товарного запаса; </w:t>
      </w:r>
    </w:p>
    <w:p>
      <w:pPr>
        <w:pStyle w:val="NormalWeb"/>
        <w:spacing w:beforeAutospacing="0" w:before="280" w:afterAutospacing="0" w:after="0"/>
        <w:ind w:firstLine="540"/>
        <w:jc w:val="both"/>
        <w:rPr>
          <w:sz w:val="28"/>
        </w:rPr>
      </w:pPr>
      <w:r>
        <w:rPr>
          <w:sz w:val="28"/>
        </w:rPr>
        <w:t xml:space="preserve">лоток - нестационарный торговый объект, не имеющий торгового зала и помещения для хранения товаров, представляющий собой легко возводимую сборно-разборную конструкцию, оснащенную прилавком, рассчитанную на одно рабочее место продавца, на площади которой размещается товарный запас на один день торговли; </w:t>
      </w:r>
    </w:p>
    <w:p>
      <w:pPr>
        <w:pStyle w:val="NormalWeb"/>
        <w:spacing w:beforeAutospacing="0" w:before="280" w:afterAutospacing="0" w:after="0"/>
        <w:ind w:firstLine="540"/>
        <w:jc w:val="both"/>
        <w:rPr>
          <w:sz w:val="28"/>
        </w:rPr>
      </w:pPr>
      <w:r>
        <w:rPr>
          <w:sz w:val="28"/>
        </w:rPr>
        <w:t xml:space="preserve">павильон - нестационарный торговый объект, представляющий собой строение (часть строения) или сооружение (часть сооружения) с замкнутым пространством, имеющее торговый зал и рассчитанное на одно или несколько рабочих мест продавцов. Павильон может иметь помещения для хранения товарного запаса; </w:t>
      </w:r>
    </w:p>
    <w:p>
      <w:pPr>
        <w:pStyle w:val="NormalWeb"/>
        <w:spacing w:beforeAutospacing="0" w:before="280" w:afterAutospacing="0" w:after="0"/>
        <w:ind w:firstLine="540"/>
        <w:jc w:val="both"/>
        <w:rPr>
          <w:sz w:val="28"/>
        </w:rPr>
      </w:pPr>
      <w:r>
        <w:rPr>
          <w:sz w:val="28"/>
        </w:rPr>
        <w:t xml:space="preserve">палатка - нестационарный торговый объект, представляющий собой оснащенную прилавком легковозводимую сборно-разборную конструкцию, образующую внутреннее пространство, не замкнутое со стороны прилавка, предназначенный для размещения одного или нескольких рабочих мест продавцов и товарного запаса на один день торговли; </w:t>
      </w:r>
    </w:p>
    <w:p>
      <w:pPr>
        <w:pStyle w:val="NormalWeb"/>
        <w:spacing w:beforeAutospacing="0" w:before="280" w:afterAutospacing="0" w:after="0"/>
        <w:ind w:firstLine="540"/>
        <w:jc w:val="both"/>
        <w:rPr>
          <w:sz w:val="28"/>
        </w:rPr>
      </w:pPr>
      <w:r>
        <w:rPr>
          <w:sz w:val="28"/>
        </w:rPr>
        <w:t xml:space="preserve">площадка для продажи рассады, саженцев и цветов - специально оборудованная временная конструкция, представляющая собой обособленную площадку для продажи рассады, саженцев и цветов; </w:t>
      </w:r>
    </w:p>
    <w:p>
      <w:pPr>
        <w:pStyle w:val="NormalWeb"/>
        <w:spacing w:beforeAutospacing="0" w:before="280" w:afterAutospacing="0" w:after="0"/>
        <w:ind w:firstLine="540"/>
        <w:jc w:val="both"/>
        <w:rPr>
          <w:sz w:val="28"/>
        </w:rPr>
      </w:pPr>
      <w:r>
        <w:rPr>
          <w:sz w:val="28"/>
        </w:rPr>
        <w:t xml:space="preserve">тележка - нестационарный торговый объект, представляющий собой оснащенную колесным механизмом конструкцию на одно рабочее место и предназначенный для перемещения и продажи штучных товаров в потребительской упаковке; </w:t>
      </w:r>
    </w:p>
    <w:p>
      <w:pPr>
        <w:pStyle w:val="NormalWeb"/>
        <w:spacing w:beforeAutospacing="0" w:before="280" w:afterAutospacing="0" w:after="0"/>
        <w:ind w:firstLine="540"/>
        <w:jc w:val="both"/>
        <w:rPr>
          <w:sz w:val="28"/>
        </w:rPr>
      </w:pPr>
      <w:r>
        <w:rPr>
          <w:sz w:val="28"/>
        </w:rPr>
        <w:t xml:space="preserve">торговая галерея - нестационарный торговый объект, выполненный в едином архитектурном стиле, состоящий из совокупности, но не более пяти (в одном ряду) специализированных павильонов или киосков, симметрично расположенных напротив друг друга, обеспечивающих беспрепятственный проход для покупателей, объединенных под единой временной светопрозрачной кровлей, не несущей теплоизоляционную функцию; </w:t>
      </w:r>
    </w:p>
    <w:p>
      <w:pPr>
        <w:pStyle w:val="NormalWeb"/>
        <w:spacing w:beforeAutospacing="0" w:before="280" w:afterAutospacing="0" w:after="0"/>
        <w:ind w:firstLine="540"/>
        <w:jc w:val="both"/>
        <w:rPr>
          <w:sz w:val="28"/>
        </w:rPr>
      </w:pPr>
      <w:r>
        <w:rPr>
          <w:sz w:val="28"/>
        </w:rPr>
        <w:t xml:space="preserve">автомат - нестационарный торговый объект, представляющий собой программно-аппаратный комплекс или механическое устройство, обеспечивающие потребителю возможность получения товара или услуги и автоматизированного расчета без участия продавца; </w:t>
      </w:r>
    </w:p>
    <w:p>
      <w:pPr>
        <w:pStyle w:val="NormalWeb"/>
        <w:spacing w:beforeAutospacing="0" w:before="280" w:afterAutospacing="0" w:after="0"/>
        <w:ind w:firstLine="540"/>
        <w:jc w:val="both"/>
        <w:rPr>
          <w:sz w:val="28"/>
        </w:rPr>
      </w:pPr>
      <w:r>
        <w:rPr>
          <w:sz w:val="28"/>
        </w:rPr>
        <w:t>объект реализации питьевой воды в розлив - нестационарный торговый объект (специализированное оборудование) по реализации питьевой воды в розлив в упаковку (тару) потребителей с использованием автоматизированных систем расчетов и метода самообслуживания или с участием продавца, и/или проточный кулер (пурифайер) с системой водоподготовки или емкость, устанавливаемые самостоятельно или на стенах жилых и общественных зданий, и/или система водоподготовки, подключаемая к централизованным источникам водоснабжения, с последующим обеспечением точкой розлива.</w:t>
      </w:r>
    </w:p>
    <w:p>
      <w:pPr>
        <w:pStyle w:val="NormalWeb"/>
        <w:spacing w:beforeAutospacing="0" w:before="280" w:afterAutospacing="0" w:after="0"/>
        <w:ind w:firstLine="540"/>
        <w:jc w:val="both"/>
        <w:rPr>
          <w:sz w:val="28"/>
        </w:rPr>
      </w:pPr>
      <w:r>
        <w:rPr>
          <w:sz w:val="28"/>
        </w:rPr>
        <w:t xml:space="preserve">торгово-остановочный комплекс - нестационарный торговый объект, состоящий из киоска или торгового павильона и который конструктивно объединен с остановочным пунктом, сведения о котором включены в реестр муниципальных маршрутов регулярных перевозок или в реестр межмуниципальных маршрутов регулярных перевозок. </w:t>
      </w:r>
    </w:p>
    <w:p>
      <w:pPr>
        <w:pStyle w:val="NormalWeb"/>
        <w:spacing w:beforeAutospacing="0" w:before="280" w:afterAutospacing="0" w:after="0"/>
        <w:ind w:firstLine="540"/>
        <w:jc w:val="both"/>
        <w:rPr>
          <w:sz w:val="28"/>
        </w:rPr>
      </w:pPr>
      <w:r>
        <w:rPr>
          <w:sz w:val="28"/>
        </w:rPr>
        <w:t xml:space="preserve">Автомагазин (торговый автофургон, автолавка), автоцистерна, лоток, палатка, тележка являются нестационарными передвижными торговыми объектами. </w:t>
      </w:r>
    </w:p>
    <w:p>
      <w:pPr>
        <w:pStyle w:val="NormalWeb"/>
        <w:spacing w:beforeAutospacing="0" w:before="280" w:afterAutospacing="0" w:after="0"/>
        <w:ind w:firstLine="540"/>
        <w:jc w:val="both"/>
        <w:rPr>
          <w:sz w:val="28"/>
        </w:rPr>
      </w:pPr>
      <w:r>
        <w:rPr>
          <w:sz w:val="28"/>
        </w:rPr>
        <w:t xml:space="preserve">1.3. в пункте 3.1.1 слова «департаментом экономического развития администрации Волгограда» заменить словами «уполномоченным органом». </w:t>
      </w:r>
    </w:p>
    <w:p>
      <w:pPr>
        <w:pStyle w:val="Normal"/>
        <w:spacing w:lineRule="auto" w:line="240" w:before="0" w:after="0"/>
        <w:ind w:firstLine="540"/>
        <w:jc w:val="both"/>
        <w:rPr>
          <w:rFonts w:ascii="Times New Roman" w:hAnsi="Times New Roman"/>
          <w:sz w:val="28"/>
        </w:rPr>
      </w:pPr>
      <w:r>
        <w:rPr>
          <w:rFonts w:ascii="Times New Roman" w:hAnsi="Times New Roman"/>
          <w:sz w:val="28"/>
        </w:rPr>
        <w:t>2. Настоящее решение подлежит официальному обнародованию и размещению на официальном сайте администрации Береславского сельского  поселения Калачевского муниципального района Волгоградской области в сети «Интернет».</w:t>
      </w:r>
    </w:p>
    <w:p>
      <w:pPr>
        <w:pStyle w:val="Normal"/>
        <w:spacing w:lineRule="atLeast" w:line="180" w:before="0" w:after="0"/>
        <w:jc w:val="both"/>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tLeast" w:line="180" w:before="0" w:after="0"/>
        <w:jc w:val="both"/>
        <w:rPr>
          <w:rFonts w:ascii="Times New Roman" w:hAnsi="Times New Roman" w:cs="Times New Roman"/>
          <w:b/>
          <w:b/>
          <w:sz w:val="24"/>
          <w:szCs w:val="24"/>
        </w:rPr>
      </w:pPr>
      <w:r>
        <w:rPr>
          <w:rFonts w:cs="Times New Roman" w:ascii="Times New Roman" w:hAnsi="Times New Roman"/>
          <w:b/>
          <w:sz w:val="24"/>
          <w:szCs w:val="24"/>
        </w:rPr>
        <w:t>Глава</w:t>
        <w:tab/>
        <w:t>Береславского</w:t>
      </w:r>
    </w:p>
    <w:p>
      <w:pPr>
        <w:pStyle w:val="Normal"/>
        <w:spacing w:lineRule="atLeast" w:line="180" w:before="0" w:after="0"/>
        <w:jc w:val="both"/>
        <w:rPr>
          <w:rFonts w:ascii="Times New Roman" w:hAnsi="Times New Roman" w:cs="Times New Roman"/>
          <w:b/>
          <w:b/>
          <w:sz w:val="24"/>
          <w:szCs w:val="24"/>
        </w:rPr>
      </w:pPr>
      <w:r>
        <w:rPr>
          <w:rFonts w:cs="Times New Roman" w:ascii="Times New Roman" w:hAnsi="Times New Roman"/>
          <w:b/>
          <w:sz w:val="24"/>
          <w:szCs w:val="24"/>
        </w:rPr>
        <w:t>Сельского поселения</w:t>
        <w:tab/>
        <w:tab/>
        <w:tab/>
        <w:tab/>
        <w:tab/>
        <w:t xml:space="preserve">                М. И. Легинзова</w:t>
      </w:r>
    </w:p>
    <w:sectPr>
      <w:headerReference w:type="default" r:id="rId3"/>
      <w:footerReference w:type="default" r:id="rId4"/>
      <w:type w:val="nextPage"/>
      <w:pgSz w:w="11906" w:h="16838"/>
      <w:pgMar w:left="1701" w:right="850" w:header="426" w:top="962" w:footer="426" w:bottom="1828"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3"/>
      <w:spacing w:before="0" w:after="0"/>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2"/>
      <w:spacing w:before="0" w:after="160"/>
      <w:rPr/>
    </w:pPr>
    <w:r>
      <w:rPr/>
      <w:tab/>
      <w:tab/>
    </w:r>
  </w:p>
</w:hdr>
</file>

<file path=word/settings.xml><?xml version="1.0" encoding="utf-8"?>
<w:settings xmlns:w="http://schemas.openxmlformats.org/wordprocessingml/2006/main">
  <w:zoom w:percent="98"/>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zh-CN"/>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等线" w:asciiTheme="minorHAnsi" w:cstheme="minorBidi" w:eastAsiaTheme="minorHAnsi" w:hAnsiTheme="minorHAnsi"/>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semiHidden="0" w:unhideWhenUsed="0"/>
    <w:lsdException w:name="footer" w:uiPriority="0" w:semiHidden="0" w:unhideWhenUsed="0" w:qFormat="1"/>
    <w:lsdException w:name="index heading" w:uiPriority="0" w:semiHidden="0" w:unhideWhenUsed="0" w:qFormat="1"/>
    <w:lsdException w:name="caption" w:uiPriority="0" w:semiHidden="0" w:unhideWhenUsed="0" w:qFormat="1"/>
    <w:lsdException w:name="List" w:uiPriority="0" w:semiHidden="0" w:unhideWhenUsed="0"/>
    <w:lsdException w:name="Title" w:uiPriority="10" w:semiHidden="0" w:unhideWhenUsed="0" w:qFormat="1"/>
    <w:lsdException w:name="Default Paragraph Font" w:uiPriority="1" w:qFormat="1"/>
    <w:lsdException w:name="Body Text" w:uiPriority="0" w:semiHidden="0" w:unhideWhenUsed="0"/>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semiHidden="0" w:qFormat="1"/>
    <w:lsdException w:name="Table Grid" w:uiPriority="39"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等线"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Интернет-ссылка"/>
    <w:qFormat/>
    <w:rPr>
      <w:color w:val="000080"/>
      <w:u w:val="single"/>
      <w:lang w:val="zh-CN" w:eastAsia="zh-CN" w:bidi="zh-CN"/>
    </w:rPr>
  </w:style>
  <w:style w:type="character" w:styleId="Style15" w:customStyle="1">
    <w:name w:val="Обычный (веб) Знак"/>
    <w:basedOn w:val="DefaultParagraphFont"/>
    <w:link w:val="aa"/>
    <w:qFormat/>
    <w:rsid w:val="00e12e21"/>
    <w:rPr>
      <w:rFonts w:ascii="Times New Roman" w:hAnsi="Times New Roman" w:eastAsia="Times New Roman" w:cs="Times New Roman"/>
      <w:sz w:val="24"/>
      <w:szCs w:val="24"/>
    </w:rPr>
  </w:style>
  <w:style w:type="paragraph" w:styleId="Style16" w:customStyle="1">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1" w:customStyle="1">
    <w:name w:val="Верхний и нижний колонтитулы"/>
    <w:basedOn w:val="Normal"/>
    <w:qFormat/>
    <w:pPr>
      <w:suppressLineNumbers/>
      <w:tabs>
        <w:tab w:val="clear" w:pos="708"/>
        <w:tab w:val="center" w:pos="4677" w:leader="none"/>
        <w:tab w:val="right" w:pos="9355" w:leader="none"/>
      </w:tabs>
    </w:pPr>
    <w:rPr/>
  </w:style>
  <w:style w:type="paragraph" w:styleId="Style22">
    <w:name w:val="Header"/>
    <w:basedOn w:val="Style21"/>
    <w:pPr/>
    <w:rPr/>
  </w:style>
  <w:style w:type="paragraph" w:styleId="Indexheading">
    <w:name w:val="index heading"/>
    <w:basedOn w:val="Normal"/>
    <w:qFormat/>
    <w:pPr>
      <w:suppressLineNumbers/>
    </w:pPr>
    <w:rPr>
      <w:rFonts w:cs="Lucida Sans"/>
    </w:rPr>
  </w:style>
  <w:style w:type="paragraph" w:styleId="Style23">
    <w:name w:val="Footer"/>
    <w:basedOn w:val="Style21"/>
    <w:qFormat/>
    <w:pPr/>
    <w:rPr/>
  </w:style>
  <w:style w:type="paragraph" w:styleId="NormalWeb">
    <w:name w:val="Normal (Web)"/>
    <w:basedOn w:val="Normal"/>
    <w:link w:val="ab"/>
    <w:unhideWhenUsed/>
    <w:qFormat/>
    <w:pPr>
      <w:spacing w:lineRule="auto" w:line="240" w:beforeAutospacing="1" w:afterAutospacing="1"/>
    </w:pPr>
    <w:rPr>
      <w:rFonts w:ascii="Times New Roman" w:hAnsi="Times New Roman" w:eastAsia="Times New Roman" w:cs="Times New Roman"/>
      <w:sz w:val="24"/>
      <w:szCs w:val="24"/>
      <w:lang w:eastAsia="ru-RU"/>
    </w:rPr>
  </w:style>
  <w:style w:type="paragraph" w:styleId="1" w:customStyle="1">
    <w:name w:val="Указатель1"/>
    <w:basedOn w:val="Normal"/>
    <w:qFormat/>
    <w:pPr>
      <w:suppressLineNumbers/>
    </w:pPr>
    <w:rPr>
      <w:rFonts w:cs="Lucida Sans"/>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C76B7F0E8F60E82C2F70FEF1A9AF542108B710B6B377B9FA9D0CB165718178D79E928A0AFv7gBH"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Application>LibreOffice/6.4.5.2$Windows_X86_64 LibreOffice_project/a726b36747cf2001e06b58ad5db1aa3a9a1872d6</Application>
  <Pages>4</Pages>
  <Words>813</Words>
  <Characters>6220</Characters>
  <CharactersWithSpaces>7118</CharactersWithSpaces>
  <Paragraphs>34</Paragraphs>
  <Company>Прокуратура РФ</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2024-09-23T08:14:00Z</dcterms:created>
  <dc:creator>Тулегенова Яна Валерьевна</dc:creator>
  <dc:description/>
  <dc:language>ru-RU</dc:language>
  <cp:lastModifiedBy/>
  <cp:lastPrinted>2026-03-31T13:44:00Z</cp:lastPrinted>
  <dcterms:modified xsi:type="dcterms:W3CDTF">2026-03-31T13:47:41Z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Прокуратура РФ</vt:lpwstr>
  </property>
  <property fmtid="{D5CDD505-2E9C-101B-9397-08002B2CF9AE}" pid="4" name="DocSecurity">
    <vt:i4>0</vt:i4>
  </property>
  <property fmtid="{D5CDD505-2E9C-101B-9397-08002B2CF9AE}" pid="5" name="HyperlinksChanged">
    <vt:bool>0</vt:bool>
  </property>
  <property fmtid="{D5CDD505-2E9C-101B-9397-08002B2CF9AE}" pid="6" name="ICV">
    <vt:lpwstr>2F24FF7B965744E886A97A5C992D3D53_13</vt:lpwstr>
  </property>
  <property fmtid="{D5CDD505-2E9C-101B-9397-08002B2CF9AE}" pid="7" name="KSOProductBuildVer">
    <vt:lpwstr>1049-12.2.0.23196</vt:lpwstr>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ies>
</file>