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30" w:rsidRPr="00B05EEC" w:rsidRDefault="00E10030" w:rsidP="00E100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05EEC">
        <w:rPr>
          <w:rFonts w:ascii="Times New Roman" w:hAnsi="Times New Roman"/>
          <w:b/>
          <w:sz w:val="28"/>
          <w:szCs w:val="28"/>
        </w:rPr>
        <w:t>АДМИНИСТРАЦИЯ</w:t>
      </w:r>
    </w:p>
    <w:p w:rsidR="00E10030" w:rsidRPr="00B05EEC" w:rsidRDefault="00E10030" w:rsidP="00E100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05EEC"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E10030" w:rsidRPr="00B05EEC" w:rsidRDefault="00E10030" w:rsidP="00E100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05EEC">
        <w:rPr>
          <w:rFonts w:ascii="Times New Roman" w:hAnsi="Times New Roman"/>
          <w:sz w:val="28"/>
          <w:szCs w:val="28"/>
        </w:rPr>
        <w:t>КАЛАЧЁВСКОГО МУНИЦИПАЛЬНОГО РАЙОНА</w:t>
      </w:r>
    </w:p>
    <w:p w:rsidR="00E10030" w:rsidRDefault="00E10030" w:rsidP="00E1003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B05EEC">
        <w:rPr>
          <w:rFonts w:ascii="Times New Roman" w:hAnsi="Times New Roman"/>
          <w:sz w:val="28"/>
          <w:szCs w:val="28"/>
        </w:rPr>
        <w:t>ВОЛГОГ</w:t>
      </w:r>
      <w:r>
        <w:rPr>
          <w:rFonts w:ascii="Times New Roman" w:hAnsi="Times New Roman"/>
          <w:sz w:val="28"/>
          <w:szCs w:val="28"/>
        </w:rPr>
        <w:t>РАДСКОЙ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ook w:val="04A0"/>
      </w:tblPr>
      <w:tblGrid>
        <w:gridCol w:w="9511"/>
      </w:tblGrid>
      <w:tr w:rsidR="00E10030" w:rsidRPr="00915ACF" w:rsidTr="00FD4A62">
        <w:trPr>
          <w:trHeight w:val="283"/>
          <w:jc w:val="center"/>
        </w:trPr>
        <w:tc>
          <w:tcPr>
            <w:tcW w:w="95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0030" w:rsidRPr="00915ACF" w:rsidRDefault="00E10030" w:rsidP="00FD4A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030" w:rsidRDefault="00E10030" w:rsidP="00E100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E10030" w:rsidRDefault="00E10030" w:rsidP="00E100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10030" w:rsidRPr="00B05EEC" w:rsidRDefault="00E10030" w:rsidP="00E1003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122</w:t>
      </w:r>
    </w:p>
    <w:p w:rsidR="00E10030" w:rsidRDefault="00E10030" w:rsidP="00E100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10030" w:rsidRDefault="00E10030" w:rsidP="00E1003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«11» ноября 2021 года</w:t>
      </w:r>
    </w:p>
    <w:p w:rsidR="00210D10" w:rsidRPr="00AB1301" w:rsidRDefault="00210D10" w:rsidP="00AB1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10" w:rsidRPr="00E10030" w:rsidRDefault="00AB1301" w:rsidP="00AB1301">
      <w:pPr>
        <w:tabs>
          <w:tab w:val="left" w:pos="6663"/>
        </w:tabs>
        <w:suppressAutoHyphens/>
        <w:spacing w:after="0" w:line="240" w:lineRule="auto"/>
        <w:ind w:left="851" w:right="70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10030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Об утверждении </w:t>
      </w:r>
      <w:r w:rsidR="008F185D" w:rsidRPr="00E10030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муниципальной программы по переселению граждан из аварийного жилищного фонда</w:t>
      </w:r>
      <w:r w:rsidR="008F185D" w:rsidRPr="00E10030">
        <w:rPr>
          <w:rFonts w:ascii="Times New Roman" w:eastAsia="Times New Roman" w:hAnsi="Times New Roman" w:cs="Times New Roman"/>
          <w:b/>
          <w:sz w:val="28"/>
          <w:szCs w:val="24"/>
        </w:rPr>
        <w:t xml:space="preserve"> на территории </w:t>
      </w:r>
      <w:r w:rsidR="00805CDF" w:rsidRPr="00E10030">
        <w:rPr>
          <w:rFonts w:ascii="Times New Roman" w:eastAsia="Times New Roman" w:hAnsi="Times New Roman" w:cs="Times New Roman"/>
          <w:b/>
          <w:sz w:val="28"/>
          <w:szCs w:val="24"/>
        </w:rPr>
        <w:t>Береславского</w:t>
      </w:r>
      <w:r w:rsidR="00611247" w:rsidRPr="00E10030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сельского поселения на 2022-2024</w:t>
      </w:r>
      <w:r w:rsidR="008F185D" w:rsidRPr="00E10030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210D10" w:rsidRPr="00AB1301" w:rsidRDefault="00210D10" w:rsidP="00AB1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AB1301" w:rsidP="00AB13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Федеральными законами от 21.07.2007 </w:t>
      </w:r>
      <w:r w:rsidR="008F185D" w:rsidRPr="00AB1301">
        <w:rPr>
          <w:rFonts w:ascii="Times New Roman" w:eastAsia="Segoe UI Symbol" w:hAnsi="Times New Roman" w:cs="Times New Roman"/>
          <w:spacing w:val="2"/>
          <w:sz w:val="24"/>
          <w:szCs w:val="24"/>
        </w:rPr>
        <w:t>№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185-ФЗ </w:t>
      </w:r>
      <w:r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>О Фонде содействия реформированию жилищно-коммунального хозяйства</w:t>
      </w:r>
      <w:r w:rsidR="008F185D" w:rsidRPr="00AB130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»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,от 06.10.2003 </w:t>
      </w:r>
      <w:r w:rsidR="008F185D" w:rsidRPr="00AB130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«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185D" w:rsidRPr="00AB130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»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>, постановлением</w:t>
      </w:r>
      <w:r w:rsidR="008F185D" w:rsidRPr="00AB130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Волгоградской области от 01.04.2019 </w:t>
      </w:r>
      <w:r w:rsidR="008F185D" w:rsidRPr="00AB130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8F185D" w:rsidRPr="00AB1301">
        <w:rPr>
          <w:rFonts w:ascii="Times New Roman" w:eastAsia="Times New Roman" w:hAnsi="Times New Roman" w:cs="Times New Roman"/>
          <w:sz w:val="24"/>
          <w:szCs w:val="24"/>
        </w:rPr>
        <w:t>141-п «Об утверждении р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егиональной адресной программы </w:t>
      </w:r>
      <w:r w:rsidR="008F185D" w:rsidRPr="00AB1301">
        <w:rPr>
          <w:rFonts w:ascii="Times New Roman" w:eastAsia="Times New Roman" w:hAnsi="Times New Roman" w:cs="Times New Roman"/>
          <w:sz w:val="24"/>
          <w:szCs w:val="24"/>
        </w:rPr>
        <w:t xml:space="preserve">«Переселение граждан из аварийного жилищного фонда на территории Волгоградской области в 2019-2025 годах», 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получения финансовой поддержки за счет средств государственной корпорации - Фонда содействия реформированию жилищно-коммунального хозяйства на переселение граждан из аварийных многоквартирных домов, признанных таковыми</w:t>
      </w:r>
      <w:r w:rsidR="006112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>до 1 января 20</w:t>
      </w:r>
      <w:r w:rsidR="001F0A8C">
        <w:rPr>
          <w:rFonts w:ascii="Times New Roman" w:eastAsia="Times New Roman" w:hAnsi="Times New Roman" w:cs="Times New Roman"/>
          <w:spacing w:val="2"/>
          <w:sz w:val="24"/>
          <w:szCs w:val="24"/>
        </w:rPr>
        <w:t>22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года, руководствуясь Уставом </w:t>
      </w:r>
      <w:r w:rsidR="00805C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Береславского 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поселения, администрация </w:t>
      </w:r>
      <w:r w:rsidR="00805CDF">
        <w:rPr>
          <w:rFonts w:ascii="Times New Roman" w:eastAsia="Times New Roman" w:hAnsi="Times New Roman" w:cs="Times New Roman"/>
          <w:spacing w:val="2"/>
          <w:sz w:val="24"/>
          <w:szCs w:val="24"/>
        </w:rPr>
        <w:t>Береславского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</w:t>
      </w:r>
      <w:r w:rsidR="001F0A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>поселения</w:t>
      </w:r>
      <w:r w:rsidR="006112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Калачевского муниципального района Волгоградской области</w:t>
      </w:r>
    </w:p>
    <w:p w:rsidR="00210D10" w:rsidRPr="00AB1301" w:rsidRDefault="00210D10" w:rsidP="00AB1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10D10" w:rsidRPr="00AB1301" w:rsidRDefault="00210D10" w:rsidP="00AB1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0D10" w:rsidRPr="00AB1301" w:rsidRDefault="00AB1301" w:rsidP="00AB1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>Утвердить муниципальн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ую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переселения граждан из аварийного жилищного фонда на территории </w:t>
      </w:r>
      <w:r w:rsidR="00805CDF">
        <w:rPr>
          <w:rFonts w:ascii="Times New Roman" w:eastAsia="Times New Roman" w:hAnsi="Times New Roman" w:cs="Times New Roman"/>
          <w:spacing w:val="2"/>
          <w:sz w:val="24"/>
          <w:szCs w:val="24"/>
        </w:rPr>
        <w:t>Береславского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="00805C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Калачевского </w:t>
      </w:r>
      <w:r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>рай</w:t>
      </w:r>
      <w:r w:rsidR="00611247">
        <w:rPr>
          <w:rFonts w:ascii="Times New Roman" w:eastAsia="Times New Roman" w:hAnsi="Times New Roman" w:cs="Times New Roman"/>
          <w:spacing w:val="2"/>
          <w:sz w:val="24"/>
          <w:szCs w:val="24"/>
        </w:rPr>
        <w:t>она Волгоградской области на 2022-2024 год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>, согласно приложению № 1 к настоящему постановлению.</w:t>
      </w:r>
    </w:p>
    <w:p w:rsidR="00210D10" w:rsidRPr="00AB1301" w:rsidRDefault="00AB1301" w:rsidP="00AB1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Постановление вступает в силу после его официального обнародования</w:t>
      </w:r>
    </w:p>
    <w:p w:rsidR="00210D10" w:rsidRPr="00AB1301" w:rsidRDefault="00AB1301" w:rsidP="00AB1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</w:t>
      </w:r>
      <w:r w:rsidR="008F185D" w:rsidRPr="00AB1301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 исполнением настоящего постановления оставляю за собой.</w:t>
      </w:r>
    </w:p>
    <w:p w:rsidR="00210D10" w:rsidRDefault="00210D10" w:rsidP="00AB1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F0A8C" w:rsidRPr="00AB1301" w:rsidRDefault="001F0A8C" w:rsidP="00AB1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0030" w:rsidRDefault="00805CDF" w:rsidP="00AB130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030">
        <w:rPr>
          <w:rFonts w:ascii="Times New Roman" w:eastAsia="Times New Roman" w:hAnsi="Times New Roman" w:cs="Times New Roman"/>
          <w:b/>
          <w:sz w:val="24"/>
          <w:szCs w:val="24"/>
        </w:rPr>
        <w:t>И.о. главы Береславского</w:t>
      </w:r>
    </w:p>
    <w:p w:rsidR="00F23F89" w:rsidRDefault="00E10030" w:rsidP="00AB130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03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F185D" w:rsidRPr="00E10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CDF" w:rsidRPr="00E100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М. И. Легинзова</w:t>
      </w:r>
    </w:p>
    <w:p w:rsidR="00FF584C" w:rsidRDefault="00FF584C" w:rsidP="00AB130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84C" w:rsidRDefault="00FF584C" w:rsidP="00AB130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84C" w:rsidRDefault="00FF584C" w:rsidP="00AB130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84C" w:rsidRDefault="00FF584C" w:rsidP="00AB130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84C" w:rsidRDefault="00FF584C" w:rsidP="00FF584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КОПИЯ ВЕРНА:</w:t>
      </w:r>
    </w:p>
    <w:p w:rsidR="00FF584C" w:rsidRDefault="00C648D5" w:rsidP="00FF584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</w:t>
      </w:r>
    </w:p>
    <w:p w:rsidR="00FF584C" w:rsidRDefault="00FF584C" w:rsidP="00FF584C">
      <w:pPr>
        <w:pStyle w:val="a7"/>
        <w:tabs>
          <w:tab w:val="clear" w:pos="467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Береславского сельского поселения</w:t>
      </w:r>
      <w:r>
        <w:rPr>
          <w:rFonts w:ascii="Times New Roman" w:hAnsi="Times New Roman"/>
          <w:b/>
        </w:rPr>
        <w:tab/>
        <w:t>М.И. Легинзова</w:t>
      </w:r>
    </w:p>
    <w:p w:rsidR="00FF584C" w:rsidRPr="00E10030" w:rsidRDefault="00FF584C" w:rsidP="00AB130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301" w:rsidRDefault="00AB13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B1301" w:rsidRPr="00AB1301" w:rsidRDefault="008F185D" w:rsidP="00AB1301">
      <w:pPr>
        <w:tabs>
          <w:tab w:val="left" w:pos="8280"/>
          <w:tab w:val="right" w:pos="10205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B130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210D10" w:rsidRPr="00AB1301" w:rsidRDefault="008F185D" w:rsidP="00AB1301">
      <w:pPr>
        <w:suppressAutoHyphens/>
        <w:spacing w:after="0" w:line="240" w:lineRule="auto"/>
        <w:ind w:left="567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10D10" w:rsidRPr="00AB1301" w:rsidRDefault="00805CDF" w:rsidP="00AB1301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Береславского</w:t>
      </w:r>
      <w:r w:rsidR="008F185D" w:rsidRPr="00AB13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10D10" w:rsidRPr="00AB1301" w:rsidRDefault="008F185D" w:rsidP="00AB1301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E10030">
        <w:rPr>
          <w:rFonts w:ascii="Times New Roman" w:eastAsia="Times New Roman" w:hAnsi="Times New Roman" w:cs="Times New Roman"/>
          <w:sz w:val="24"/>
          <w:szCs w:val="24"/>
        </w:rPr>
        <w:t xml:space="preserve"> 122 от 11.11.2021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10D10" w:rsidRPr="00AB1301" w:rsidRDefault="00210D10" w:rsidP="00AB130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Муниципальнаяпрограмма</w:t>
      </w:r>
    </w:p>
    <w:p w:rsidR="00210D10" w:rsidRPr="00AB1301" w:rsidRDefault="008F185D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переселения граждан из аварийного жилищного фонда</w:t>
      </w:r>
      <w:r w:rsidR="00805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="00805CDF" w:rsidRPr="00805C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05CDF">
        <w:rPr>
          <w:rFonts w:ascii="Times New Roman" w:eastAsia="Times New Roman" w:hAnsi="Times New Roman" w:cs="Times New Roman"/>
          <w:spacing w:val="2"/>
          <w:sz w:val="24"/>
          <w:szCs w:val="24"/>
        </w:rPr>
        <w:t>Береславского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2022-2024 год</w:t>
      </w:r>
    </w:p>
    <w:p w:rsidR="00210D10" w:rsidRPr="00AB1301" w:rsidRDefault="00210D10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AB1301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>аспорт муниципальной программы</w:t>
      </w:r>
    </w:p>
    <w:p w:rsidR="00210D10" w:rsidRPr="00AB1301" w:rsidRDefault="00210D10" w:rsidP="00AB1301">
      <w:pPr>
        <w:tabs>
          <w:tab w:val="left" w:pos="3555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44"/>
        <w:gridCol w:w="425"/>
        <w:gridCol w:w="5954"/>
      </w:tblGrid>
      <w:tr w:rsidR="00AB1301" w:rsidRPr="00AB1301" w:rsidTr="00AB1301">
        <w:trPr>
          <w:trHeight w:val="1"/>
        </w:trPr>
        <w:tc>
          <w:tcPr>
            <w:tcW w:w="3544" w:type="dxa"/>
          </w:tcPr>
          <w:p w:rsidR="00210D10" w:rsidRPr="00AB1301" w:rsidRDefault="008F185D" w:rsidP="00122C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22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AB1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210D10" w:rsidRPr="00AB1301" w:rsidRDefault="00210D10" w:rsidP="00AB13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0D10" w:rsidRPr="00AB1301" w:rsidRDefault="008F185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переселения граждан из аварийного жилищного фонда на территории</w:t>
            </w:r>
            <w:r w:rsidR="00805C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Береславского</w:t>
            </w: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05CDF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Калачевского</w:t>
            </w: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</w:t>
            </w:r>
            <w:r w:rsidR="0061124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2022-2024 год</w:t>
            </w:r>
          </w:p>
        </w:tc>
      </w:tr>
      <w:tr w:rsidR="00AB1301" w:rsidRPr="00AB1301" w:rsidTr="00AB1301">
        <w:trPr>
          <w:trHeight w:val="1"/>
        </w:trPr>
        <w:tc>
          <w:tcPr>
            <w:tcW w:w="3544" w:type="dxa"/>
          </w:tcPr>
          <w:p w:rsidR="00210D10" w:rsidRPr="00AB1301" w:rsidRDefault="00122CE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="008F185D" w:rsidRPr="00AB1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210D10" w:rsidRPr="00AB1301" w:rsidRDefault="008F185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210D10" w:rsidRPr="00AB1301" w:rsidRDefault="008F185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05C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Береславского</w:t>
            </w:r>
            <w:r w:rsidR="00805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B1301" w:rsidRPr="00AB1301" w:rsidTr="00AB1301">
        <w:trPr>
          <w:trHeight w:val="1"/>
        </w:trPr>
        <w:tc>
          <w:tcPr>
            <w:tcW w:w="3544" w:type="dxa"/>
          </w:tcPr>
          <w:p w:rsidR="00210D10" w:rsidRPr="00AB1301" w:rsidRDefault="00122CED" w:rsidP="001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УчастникиП</w:t>
            </w:r>
            <w:r w:rsidR="008F185D" w:rsidRPr="00AB1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210D10" w:rsidRPr="00AB1301" w:rsidRDefault="008F185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210D10" w:rsidRPr="00AB1301" w:rsidRDefault="008F185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05C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Береславского</w:t>
            </w:r>
            <w:r w:rsidR="00805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B1301" w:rsidRPr="00AB1301" w:rsidTr="00AB1301">
        <w:tc>
          <w:tcPr>
            <w:tcW w:w="3544" w:type="dxa"/>
          </w:tcPr>
          <w:p w:rsidR="00210D10" w:rsidRPr="00AB1301" w:rsidRDefault="008F185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425" w:type="dxa"/>
          </w:tcPr>
          <w:p w:rsidR="00210D10" w:rsidRPr="00AB1301" w:rsidRDefault="008F185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210D10" w:rsidRPr="00AB1301" w:rsidRDefault="008F185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Переселение граждан, проживающих в аварийном жилищном фонде, в благоустроенные жилые помещения</w:t>
            </w:r>
          </w:p>
        </w:tc>
      </w:tr>
      <w:tr w:rsidR="00AB1301" w:rsidRPr="00AB1301" w:rsidTr="00AB1301">
        <w:tc>
          <w:tcPr>
            <w:tcW w:w="3544" w:type="dxa"/>
          </w:tcPr>
          <w:p w:rsidR="00210D10" w:rsidRPr="00AB1301" w:rsidRDefault="008F185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425" w:type="dxa"/>
          </w:tcPr>
          <w:p w:rsidR="00210D10" w:rsidRPr="00AB1301" w:rsidRDefault="008F185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210D10" w:rsidRPr="00AB1301" w:rsidRDefault="008F185D" w:rsidP="00AB13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переселение граждан из жилищного фонда, непригодного для проживания (оптимизация развития территорий, занятых в настоящее время жилищным фондом, непригодным для проживания);</w:t>
            </w:r>
          </w:p>
          <w:p w:rsidR="00210D10" w:rsidRPr="00AB1301" w:rsidRDefault="008F185D" w:rsidP="00C87D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жилищного фонда, непригодного для проживания, путем сноса, реконструкции за счет выделяемых средств федерального, областного и муниципального бюджетов.</w:t>
            </w:r>
          </w:p>
        </w:tc>
      </w:tr>
      <w:tr w:rsidR="00C87DD9" w:rsidRPr="00AB1301" w:rsidTr="00AB1301">
        <w:tc>
          <w:tcPr>
            <w:tcW w:w="3544" w:type="dxa"/>
          </w:tcPr>
          <w:p w:rsidR="00C87DD9" w:rsidRPr="00AB1301" w:rsidRDefault="00C87DD9" w:rsidP="00122CE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Целевыеиндикаторы</w:t>
            </w:r>
            <w:r w:rsidR="00122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показатели </w:t>
            </w:r>
            <w:r w:rsidRPr="00C87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C87DD9" w:rsidRPr="00AB1301" w:rsidRDefault="00C87DD9" w:rsidP="00AB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87DD9" w:rsidRPr="00C87DD9" w:rsidRDefault="00C87DD9" w:rsidP="00C87D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жилых помещений, по которым проведена оценка с целью обеспечения реализации прав собственников жилых помещений на выбор способа переселения;</w:t>
            </w:r>
          </w:p>
          <w:p w:rsidR="00C87DD9" w:rsidRPr="00C87DD9" w:rsidRDefault="00C87DD9" w:rsidP="00C87D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общая площадь, подлежащая расселению в соответствии со ст. 32 ЖК РФ;</w:t>
            </w:r>
          </w:p>
          <w:p w:rsidR="00C87DD9" w:rsidRPr="00C87DD9" w:rsidRDefault="00C87DD9" w:rsidP="00C87D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граждан, подлежащих расселению;</w:t>
            </w:r>
          </w:p>
          <w:p w:rsidR="00C87DD9" w:rsidRPr="00C87DD9" w:rsidRDefault="00C87DD9" w:rsidP="00C87D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расселяемых жилых помещений;</w:t>
            </w:r>
          </w:p>
          <w:p w:rsidR="00C87DD9" w:rsidRPr="00AB1301" w:rsidRDefault="00C87DD9" w:rsidP="00C87D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аварийного жилищного фонда, подлежащего сносу.</w:t>
            </w:r>
          </w:p>
        </w:tc>
      </w:tr>
      <w:tr w:rsidR="00AB1301" w:rsidRPr="00AB1301" w:rsidTr="00AB1301">
        <w:trPr>
          <w:trHeight w:val="1"/>
        </w:trPr>
        <w:tc>
          <w:tcPr>
            <w:tcW w:w="3544" w:type="dxa"/>
          </w:tcPr>
          <w:p w:rsidR="00210D10" w:rsidRPr="00AB1301" w:rsidRDefault="008F185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и срокиреализации программы</w:t>
            </w:r>
          </w:p>
        </w:tc>
        <w:tc>
          <w:tcPr>
            <w:tcW w:w="425" w:type="dxa"/>
          </w:tcPr>
          <w:p w:rsidR="00210D10" w:rsidRPr="00AB1301" w:rsidRDefault="00210D10" w:rsidP="00AB13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1301" w:rsidRDefault="008F185D" w:rsidP="00AB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будет реализована в один этап.</w:t>
            </w:r>
          </w:p>
          <w:p w:rsidR="00210D10" w:rsidRPr="00AB1301" w:rsidRDefault="008F185D" w:rsidP="0061124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61124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611247">
              <w:rPr>
                <w:rFonts w:ascii="Times New Roman" w:eastAsia="Times New Roman" w:hAnsi="Times New Roman" w:cs="Times New Roman"/>
                <w:sz w:val="24"/>
                <w:szCs w:val="24"/>
              </w:rPr>
              <w:t>2-2024 годы</w:t>
            </w:r>
          </w:p>
        </w:tc>
      </w:tr>
      <w:tr w:rsidR="00AB1301" w:rsidRPr="00AB1301" w:rsidTr="00AB1301">
        <w:trPr>
          <w:trHeight w:val="1"/>
        </w:trPr>
        <w:tc>
          <w:tcPr>
            <w:tcW w:w="3544" w:type="dxa"/>
          </w:tcPr>
          <w:p w:rsidR="00210D10" w:rsidRPr="00AB1301" w:rsidRDefault="00122CE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Ресурсное обеспечение </w:t>
            </w:r>
            <w:r w:rsidR="008F185D" w:rsidRPr="00AB1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210D10" w:rsidRPr="00AB1301" w:rsidRDefault="00210D10" w:rsidP="00AB13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0D10" w:rsidRPr="00AB1301" w:rsidRDefault="008F185D" w:rsidP="00AB130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финансирования Программы составляет </w:t>
            </w:r>
            <w:r w:rsidR="00DC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5000000</w:t>
            </w: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в том числе:</w:t>
            </w:r>
          </w:p>
          <w:p w:rsidR="006C633E" w:rsidRPr="006C633E" w:rsidRDefault="006C633E" w:rsidP="006C633E">
            <w:pPr>
              <w:numPr>
                <w:ilvl w:val="0"/>
                <w:numId w:val="2"/>
              </w:num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 счет иных безвозмездных поступлений 4000000.</w:t>
            </w:r>
          </w:p>
          <w:p w:rsidR="00210D10" w:rsidRPr="00AB1301" w:rsidRDefault="008F185D" w:rsidP="006C633E">
            <w:pPr>
              <w:numPr>
                <w:ilvl w:val="0"/>
                <w:numId w:val="2"/>
              </w:numPr>
              <w:suppressAutoHyphens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 сче</w:t>
            </w:r>
            <w:r w:rsidR="00AB13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местного бюджета </w:t>
            </w:r>
            <w:r w:rsidR="00DC1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1000000</w:t>
            </w: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AB1301" w:rsidRPr="00AB1301" w:rsidTr="00AB1301">
        <w:tc>
          <w:tcPr>
            <w:tcW w:w="3544" w:type="dxa"/>
          </w:tcPr>
          <w:p w:rsidR="00210D10" w:rsidRPr="00AB1301" w:rsidRDefault="00122CE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</w:t>
            </w:r>
            <w:r w:rsidR="008F185D" w:rsidRPr="00AB1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210D10" w:rsidRPr="00AB1301" w:rsidRDefault="00210D10" w:rsidP="00AB13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0D10" w:rsidRPr="00AB1301" w:rsidRDefault="008F185D" w:rsidP="00AB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реализации мероприятий Программы будет произведено:</w:t>
            </w:r>
          </w:p>
          <w:p w:rsidR="00210D10" w:rsidRPr="00AB1301" w:rsidRDefault="008F185D" w:rsidP="00AB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Выкуп жилого помещения аварийного жилищного </w:t>
            </w: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 у собственников, путем предоставления выкупной стоимости жилья;</w:t>
            </w:r>
          </w:p>
          <w:p w:rsidR="00210D10" w:rsidRPr="00AB1301" w:rsidRDefault="008F185D" w:rsidP="00AB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Приобретение у собственников жилых помещений в муниципальную собственность для дальнейшего предоставления гражданам, проживающим в аварийном фонде.</w:t>
            </w:r>
          </w:p>
          <w:p w:rsidR="00210D10" w:rsidRPr="00AB1301" w:rsidRDefault="008F185D" w:rsidP="00AB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210D10" w:rsidRPr="00AB1301" w:rsidRDefault="008F185D" w:rsidP="00AB13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жителей аварийного жилищного фонда, переселяемых путем предоставления выкупной стоимости жилья;</w:t>
            </w:r>
          </w:p>
          <w:p w:rsidR="00210D10" w:rsidRPr="00AB1301" w:rsidRDefault="008F185D" w:rsidP="00AB13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301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семей, проживающих в аварийном жилом фонде улучшивших жилищные условия.</w:t>
            </w:r>
          </w:p>
        </w:tc>
      </w:tr>
    </w:tbl>
    <w:p w:rsidR="00210D10" w:rsidRPr="00AB1301" w:rsidRDefault="00210D10" w:rsidP="00AB130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Решение проблем в жилищной сфере во все времена было одним из важнейших социальных факторов. В настоящий момент приоритетом политики государства является решение накопившихся социальных проблем, в частности, и проблем в сфере обеспечения населения доступным и комфортным жильем. Одна из социальных проблем в области жилищного обеспечения - это ликвидация ветхого и аварийного жилищного фонда. Данная проблема - комплексная проблема, возникшая вследствие:</w:t>
      </w: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- многолетнего недофинансирования капитального ремонта и реконструкции жилищного фонда и коммунальной инфраструктуры;</w:t>
      </w: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- сокращения объемов строительства государственного и муниципального жилья и соответственно уменьшения количества квартир, предоставляемых бесплатно очередникам;</w:t>
      </w: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- переход к рыночным принципам экономики сделал недоступным для большинства граждан самостоятельно улучшить свои жилищные условия;</w:t>
      </w: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- малая привлекательность земельных участков, не обеспеченных коммунальной инфраструктурой, и сложность оформления разрешения на строительство приводят к малому объему строительства по сравнению со спросом на жилье, увеличивают стоимость жилья, что в свою очередь также уменьшает покупательскую способность граждан.</w:t>
      </w:r>
    </w:p>
    <w:p w:rsidR="00210D10" w:rsidRPr="00AB1301" w:rsidRDefault="008F185D" w:rsidP="00AB130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Для решения этой задачи в рамках Государственная программа Российской Федерации «Обеспечение доступным и комфортным жильем и коммунальными услугами граждан Российской Федерации», региональной адресной программы«Переселение граждан из аварийного жилищного фонда на территории Волгоградской области в 2019-2025 годах» и во исполнение поручения Президента России и разработана муниципальная программа "Переселение граждан</w:t>
      </w:r>
      <w:r w:rsidR="00805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805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>аварийного жилищного фонда</w:t>
      </w:r>
      <w:r w:rsidR="00805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805CDF">
        <w:rPr>
          <w:rFonts w:ascii="Times New Roman" w:eastAsia="Times New Roman" w:hAnsi="Times New Roman" w:cs="Times New Roman"/>
          <w:spacing w:val="2"/>
          <w:sz w:val="24"/>
          <w:szCs w:val="24"/>
        </w:rPr>
        <w:t>Береславского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b/>
          <w:sz w:val="24"/>
          <w:szCs w:val="24"/>
        </w:rPr>
        <w:t>2. Основные характеристики проблемы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805CDF">
        <w:rPr>
          <w:rFonts w:ascii="Times New Roman" w:eastAsia="Times New Roman" w:hAnsi="Times New Roman" w:cs="Times New Roman"/>
          <w:spacing w:val="2"/>
          <w:sz w:val="24"/>
          <w:szCs w:val="24"/>
        </w:rPr>
        <w:t>Береславского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расположен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>о один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жил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дом, признанный ветхим, находящимися в ав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>арийном состоянии и непригодным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 людей, общей площадью </w:t>
      </w:r>
      <w:r w:rsidR="00805CDF">
        <w:rPr>
          <w:rFonts w:ascii="Times New Roman" w:eastAsia="Times New Roman" w:hAnsi="Times New Roman" w:cs="Times New Roman"/>
          <w:sz w:val="24"/>
          <w:szCs w:val="24"/>
        </w:rPr>
        <w:t>5224,6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кв. м. согласно Приложению </w:t>
      </w:r>
      <w:r w:rsidRPr="00AB130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>1 к программе.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>В данном жилищном фонде проживает</w:t>
      </w:r>
      <w:r w:rsidR="00805CDF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b/>
          <w:sz w:val="24"/>
          <w:szCs w:val="24"/>
        </w:rPr>
        <w:t>3. Цели и задачи Программы</w:t>
      </w:r>
      <w:r w:rsidR="00CC74EF">
        <w:rPr>
          <w:rFonts w:ascii="Times New Roman" w:eastAsia="Times New Roman" w:hAnsi="Times New Roman" w:cs="Times New Roman"/>
          <w:b/>
          <w:sz w:val="24"/>
          <w:szCs w:val="24"/>
        </w:rPr>
        <w:t>, ц</w:t>
      </w:r>
      <w:r w:rsidR="00CC74EF" w:rsidRPr="00CC74EF">
        <w:rPr>
          <w:rFonts w:ascii="Times New Roman" w:eastAsia="Times New Roman" w:hAnsi="Times New Roman" w:cs="Times New Roman"/>
          <w:b/>
          <w:sz w:val="24"/>
          <w:szCs w:val="24"/>
        </w:rPr>
        <w:t>елевые показатели (индикаторы) Программы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переселение граждан, проживающих в аварийном жилищном фонде, в благоустроенные жилые помещения.</w:t>
      </w: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lastRenderedPageBreak/>
        <w:t>В первую очередь расселению подлежат аварийные дома, имеющие высокий уровень износа.</w:t>
      </w: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поставленной цели необходимо решение следующих основных задач:</w:t>
      </w: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1. Поэтапное переселение граждан из жилищного фонда, непригодного для проживания (оптимизация развития территорий, занятых в настоящее время жилищным фондом, непригодным для проживания).</w:t>
      </w:r>
    </w:p>
    <w:p w:rsidR="00210D10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2. Ликвидация жилищного фонда, непригодного для проживания, путем сноса, реконструкции за счет выделяемых средств федерального, областного и муниципального бюджетов.</w:t>
      </w:r>
    </w:p>
    <w:p w:rsidR="00CC74EF" w:rsidRDefault="00CC74EF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Перечень индикаторов достижения цели и непосредственные результаты реализации программы отображены в приложении 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Программе.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Расчет значений показателей эффективности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муниципальной программы планируется переселение 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человека из 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общей площадью </w:t>
      </w:r>
      <w:r w:rsidR="00DC14E9">
        <w:rPr>
          <w:rFonts w:ascii="Times New Roman" w:eastAsia="Times New Roman" w:hAnsi="Times New Roman" w:cs="Times New Roman"/>
          <w:sz w:val="24"/>
          <w:szCs w:val="24"/>
        </w:rPr>
        <w:t>5224,6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Степень выполнения мер</w:t>
      </w:r>
      <w:bookmarkStart w:id="0" w:name="_GoBack"/>
      <w:bookmarkEnd w:id="0"/>
      <w:r w:rsidRPr="00CC74EF">
        <w:rPr>
          <w:rFonts w:ascii="Times New Roman" w:eastAsia="Times New Roman" w:hAnsi="Times New Roman" w:cs="Times New Roman"/>
          <w:sz w:val="24"/>
          <w:szCs w:val="24"/>
        </w:rPr>
        <w:t>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реализации муниципальной программы используются следующие показатели (индикаторы):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- количество жилых помещений, по которым проведена оценка с целью обеспечения реализации прав собственников жилых помещений на принятие решения по выбору способа переселения из аварийного жилья.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Абсолютный показатель, определяющий количество жилых помещений, по которым проведена оценка размера возмещения с целью обеспечения реализации прав собственников жилых помещений на принятие решения по способу переселения из аварийного жилья.</w:t>
      </w:r>
    </w:p>
    <w:p w:rsidR="00CC74EF" w:rsidRPr="00CC74EF" w:rsidRDefault="00611247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Планируется до конца 2023</w:t>
      </w:r>
      <w:r w:rsidR="00CC74EF" w:rsidRPr="00CC74EF">
        <w:rPr>
          <w:rFonts w:ascii="Times New Roman" w:eastAsia="Times New Roman" w:hAnsi="Times New Roman" w:cs="Times New Roman"/>
          <w:sz w:val="24"/>
          <w:szCs w:val="24"/>
        </w:rPr>
        <w:t xml:space="preserve"> года провести оценку 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>90</w:t>
      </w:r>
      <w:r w:rsidR="00CC74EF" w:rsidRPr="00CC74EF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с целью обеспечения реализации прав собственников жилых помещений на принятие решения по способу переселения из аварийного жилья.</w:t>
      </w:r>
    </w:p>
    <w:p w:rsidR="00CC74EF" w:rsidRPr="00CC74EF" w:rsidRDefault="00611247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сумма затрат з</w:t>
      </w:r>
      <w:r w:rsidR="00DC14E9">
        <w:rPr>
          <w:rFonts w:ascii="Times New Roman" w:eastAsia="Times New Roman" w:hAnsi="Times New Roman" w:cs="Times New Roman"/>
          <w:sz w:val="24"/>
          <w:szCs w:val="24"/>
        </w:rPr>
        <w:t>а 2022-2024 год составит 5000000</w:t>
      </w:r>
      <w:r w:rsidR="00CC74EF" w:rsidRPr="00CC74EF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Абсолютный показатель, определяющий расселяемую площадь жилых помещений в аварийном жилищном фонде. Рассчитывается на основании данных целевых показателей в разрезе 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>квартирографии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, определяющих потребность расселяемого и предоставляемого жилья, приобретения по каждой семье, подлежащей расселению из аварийных многоквартирных 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>домов. Планируется с начала 2024 до конца 2024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года провести расселение 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>4271,8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кв. м площади аварийного жилья. Общая су</w:t>
      </w:r>
      <w:r w:rsidR="00DC14E9">
        <w:rPr>
          <w:rFonts w:ascii="Times New Roman" w:eastAsia="Times New Roman" w:hAnsi="Times New Roman" w:cs="Times New Roman"/>
          <w:sz w:val="24"/>
          <w:szCs w:val="24"/>
        </w:rPr>
        <w:t>мма затрат на расселение 5224,6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кв. м площади аварийного жилья установлена после проведения оценки жилых помещений с целью обеспечения реализации прав собственников жилых помещений на принятие решения по выбору способа переселения из аварийного жилья;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- количество граждан, подлежащих расселению.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Абсолютный показатель, определяющий количество граждан, переселяемых из аварийного жилищного фонда. Рассчитывается на основании данных целевых показат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>елей в разрезе квартирографии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, определяющих потребность расселяемого и предоставляемого жилья, приобретения по каждой семье, подлежащей расселению из аварийных многоквартирных 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>домов. Планируется с начала 2024 до конца 2024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года переселить из аварийного жилищного фонда 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человека. Общая сумма затрат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 xml:space="preserve"> на переселение 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человека из 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lastRenderedPageBreak/>
        <w:t>аварийного жилья будет установлена после проведения оценки жилых помещений с целью обеспечения реализации прав собственников жилых помещений на принятие решения по выбору способа переселения из аварийного жилья;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- количество расселяемых жилых помещений.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Абсолютный показатель, определяющий количество расселяемых жилых помещений в аварийном жилищном фонде. Рассчитывается на основании данных целевых показат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>елей в разрезе квартирографии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, определяющих потребность расселяемого и предоставляемого жилья, приобретения по каждой семье, подлежащей расселению из аварийных многоквартирных 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>домов. Планируется с начала 2024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>до конца 2024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 xml:space="preserve"> года расселить 90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из аварийного жилищного фонда. Обща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>я сумма затрат на расселение 90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из аварийного жилья будет установлена после проведения оценки жилых помещений с целью обеспечения реализации прав собственников жилых помещений на принятие решения по выбору способа переселения из аварийного жилья;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- количество аварийного жилищного фонда, подлежащего сносу.</w:t>
      </w:r>
    </w:p>
    <w:p w:rsidR="00CC74EF" w:rsidRPr="00AB1301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Абсолютный показатель, определяющий количество аварийного жилищного фонда, подлежащего 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>сносу. Планируется до конца 2024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года провести снос 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аварийных домов, расположенных на территории </w:t>
      </w:r>
      <w:r w:rsidR="00F94E35">
        <w:rPr>
          <w:rFonts w:ascii="Times New Roman" w:eastAsia="Times New Roman" w:hAnsi="Times New Roman" w:cs="Times New Roman"/>
          <w:spacing w:val="2"/>
          <w:sz w:val="24"/>
          <w:szCs w:val="24"/>
        </w:rPr>
        <w:t>Береславского</w:t>
      </w:r>
      <w:r w:rsidR="00F94E35" w:rsidRPr="00CC7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. Общая сумма затрат на снос 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 xml:space="preserve"> аварийных домов, расположенных на территории </w:t>
      </w:r>
      <w:r w:rsidR="00F94E35">
        <w:rPr>
          <w:rFonts w:ascii="Times New Roman" w:eastAsia="Times New Roman" w:hAnsi="Times New Roman" w:cs="Times New Roman"/>
          <w:spacing w:val="2"/>
          <w:sz w:val="24"/>
          <w:szCs w:val="24"/>
        </w:rPr>
        <w:t>Береславского</w:t>
      </w:r>
      <w:r w:rsidR="00F94E35" w:rsidRPr="00CC7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C74EF">
        <w:rPr>
          <w:rFonts w:ascii="Times New Roman" w:eastAsia="Times New Roman" w:hAnsi="Times New Roman" w:cs="Times New Roman"/>
          <w:sz w:val="24"/>
          <w:szCs w:val="24"/>
        </w:rPr>
        <w:t>, будет определена после разработки проекта организации сноса.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b/>
          <w:sz w:val="24"/>
          <w:szCs w:val="24"/>
        </w:rPr>
        <w:t>4. Сроки и этапы реализации Программы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Мероприятия Программы будут реализованы в 20</w:t>
      </w:r>
      <w:r w:rsidR="00611247">
        <w:rPr>
          <w:rFonts w:ascii="Times New Roman" w:eastAsia="Times New Roman" w:hAnsi="Times New Roman" w:cs="Times New Roman"/>
          <w:sz w:val="24"/>
          <w:szCs w:val="24"/>
        </w:rPr>
        <w:t>22-2024 году.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b/>
          <w:sz w:val="24"/>
          <w:szCs w:val="24"/>
        </w:rPr>
        <w:t>5. Ресурсное обеспечение Программы</w:t>
      </w:r>
    </w:p>
    <w:p w:rsidR="00CC74EF" w:rsidRDefault="00CC74EF" w:rsidP="00AB130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Источниками финансирования расходов на переселение граждан из аварийного жилищного фонда в рамках реализации Программы являются:</w:t>
      </w:r>
    </w:p>
    <w:p w:rsidR="00210D10" w:rsidRPr="00AB1301" w:rsidRDefault="006C633E" w:rsidP="00AB130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Иные безвозмездные поступления,</w:t>
      </w:r>
    </w:p>
    <w:p w:rsidR="00210D10" w:rsidRPr="00AB1301" w:rsidRDefault="008F185D" w:rsidP="00AB130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местный бюджет.</w:t>
      </w:r>
    </w:p>
    <w:p w:rsidR="00210D10" w:rsidRPr="00AB1301" w:rsidRDefault="00210D10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b/>
          <w:sz w:val="24"/>
          <w:szCs w:val="24"/>
        </w:rPr>
        <w:t>6. Механизм реализации Программы</w:t>
      </w:r>
    </w:p>
    <w:p w:rsidR="00210D10" w:rsidRPr="00AB1301" w:rsidRDefault="00210D10" w:rsidP="002013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В Программу включен</w:t>
      </w:r>
      <w:r w:rsidR="0020132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</w:t>
      </w:r>
      <w:r w:rsidR="002013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 w:rsidR="00201327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</w:t>
      </w:r>
      <w:r w:rsidR="002013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="00F94E35" w:rsidRPr="00F94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94E35">
        <w:rPr>
          <w:rFonts w:ascii="Times New Roman" w:eastAsia="Times New Roman" w:hAnsi="Times New Roman" w:cs="Times New Roman"/>
          <w:spacing w:val="2"/>
          <w:sz w:val="24"/>
          <w:szCs w:val="24"/>
        </w:rPr>
        <w:t>Береславского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0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признанны</w:t>
      </w:r>
      <w:r w:rsidR="002013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201327">
        <w:rPr>
          <w:rFonts w:ascii="Times New Roman" w:eastAsia="Times New Roman" w:hAnsi="Times New Roman" w:cs="Times New Roman"/>
          <w:sz w:val="24"/>
          <w:szCs w:val="24"/>
        </w:rPr>
        <w:t>01.01.20</w:t>
      </w:r>
      <w:r w:rsidR="00805CD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г. в установленном порядке аварийным</w:t>
      </w:r>
      <w:r w:rsidR="002013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и подлежащим</w:t>
      </w:r>
      <w:r w:rsidR="002013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сносу или реконструкции в связи с физическим износом в процессе его эксплуатации согласно Приложению </w:t>
      </w:r>
      <w:r w:rsidRPr="00AB130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Переселение граждан из аварийного жилищного фонда может осуществлятьсяследующими способами:</w:t>
      </w:r>
    </w:p>
    <w:p w:rsidR="00210D10" w:rsidRPr="00AB1301" w:rsidRDefault="008F185D" w:rsidP="00201327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1) приобретение жилых помещений на вторичном рынке, у лиц, являющихся собственниками;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2)выплатасобственнику возмещения за изымаемое жилое помещение.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проводят разъяснительную работу с собственниками жилых помещений, проживающими в аварийном многоквартирном доме, включенного в Программу, об условиях, сроках, порядке переселения, порядке изъятия жилых помещений, размере возмещения за изымаемые жилые помещения, размере субсидии на приобретение (строительство) жилых помещений и (или) субсидии на возмещение части расходов на уплату процентов за пользование займом или кредитом, использованными на приобретение (строительство) жилых помещений, с целью выявления пожеланий собственников помещений в указанных домах о способе и иных условиях их переселения.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информации, полученной в результате проведенной работы с гражданами, оценки рынка жилья, стоимости одного квадратного метра приобретения и строительства жилых помещений, наличия договоров развития застроенных территорий и свободного муниципального жилищного фонда, администрация проводит сравнительный анализ и оценку экономической эффективности каждого из способов переселения и направляет предложения о выбранных способах переселения в Комитет строительства Волгоградской области.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предоставляют гражданам, проживающим в аварийных многоквартирных домах, информацию о подготовке и реализации Программы с использованием всех доступных средств массовой информации, включая официальные сайты органов местного самоуправления в сети Интернет.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>Береславского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после получения от Комитета строительства Волгоградской области уведомления о положительном решении Фонда о предоставлении государственной поддержки заключают с Комитетом соглашение о реализации Программы на территории муниципального образования (далее именуется - Соглашение) по форме, установленной Комитетом строительства Волгоградской области.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Средства Фонда и средства областного бюджета перечисляются в местный бюджет в порядке и сроки, установленные Соглашением, и расходуются органами местного самоуправления по направлениям, установленным частью 6 статьи 16 Федерального закона </w:t>
      </w:r>
      <w:r w:rsidRPr="00AB130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185-ФЗ.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Переселение граждан из аварийного жилищного фонда осуществляется в соответствии с нормами Жилищного кодекса Российской Федерации и Федерального закона </w:t>
      </w:r>
      <w:r w:rsidRPr="00AB130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185-ФЗ.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Гражданам, переселяемым из жилых помещений аварийного жилищного фонда, занимаемых по договорам социального найма, в соответствии со статьей 86, частью 3 статьи 88 и статьей 89 Жилищного кодекса Российской Федерации предоставляются жилые помещения, благоустроенные применительно кусловиям поселения, отвечающие установленным жилищным законодательством требованиям и находящиеся в черте населенного пункта или в границах другого населенного пункта Волгоградской области, с письменного согласия граждан в соответствии с частью 1 статьи 89 Жилищного кодекса Российской Федерации.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>Жилищные права собственников изымаемых жилых помещений в рамках Программы обеспечиваются в соответствии со статьей 32 Жилищного кодекса Российской Федерации путем выкупа помещения или предоставления другого жилого помещения с зачетом его стоимости в выкупную цену.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Размер возмещения за изымаемое помещение определяется администрацией </w:t>
      </w:r>
      <w:r w:rsidR="00F94E35">
        <w:rPr>
          <w:rFonts w:ascii="Times New Roman" w:eastAsia="Times New Roman" w:hAnsi="Times New Roman" w:cs="Times New Roman"/>
          <w:sz w:val="24"/>
          <w:szCs w:val="24"/>
        </w:rPr>
        <w:t>Береславского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 учетом факторов, перечисленных в части 7 статьи 32 Жилищного кодекса Российской Федерации. Сумма возмещения, сроки и другие условия изъятия обозначаются в соглашении с собственником жилого помещения. При возникновении спора о размере возмещения, оценка рыночной стоимости помещения устанавливается по правилам, предусмотренным Федеральным законом от 29 июля 1998 г. </w:t>
      </w:r>
      <w:r w:rsidRPr="00AB130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135-ФЗ "Об оценочной деятельности в Российской Федерации".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Собственникам жилых помещений, расположенных в аварийных домах, включенных в Программу, не имеющим иного пригодного для проживания жилого помещения, находящегося в собственности или занимаемого на условиях социального найма, может быть предоставлена субсидия на приобретение (строительство) жилых помещений и (или) субсидия на возмещение части расходов на уплату процентов за пользование займом или кредитом, полученными в валюте Российской Федерации и использованными на приобретение (строительство) жилых помещений, в размере, установленном пунктом 3 части 6 статьи 16 Федерального закона </w:t>
      </w:r>
      <w:r w:rsidRPr="00AB130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185-ФЗ.</w:t>
      </w:r>
    </w:p>
    <w:p w:rsidR="00210D10" w:rsidRPr="00AB1301" w:rsidRDefault="008F185D" w:rsidP="002013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 мероприятий по переселению граждан из аварийного жилья указан в Приложении </w:t>
      </w:r>
      <w:r w:rsidRPr="00AB130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>2 к муниципальной программе.</w:t>
      </w:r>
    </w:p>
    <w:p w:rsidR="00210D10" w:rsidRPr="00AB1301" w:rsidRDefault="00210D10" w:rsidP="002013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b/>
          <w:sz w:val="24"/>
          <w:szCs w:val="24"/>
        </w:rPr>
        <w:t>7. Ожидаемые конечные результаты реализации Программы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граждан, проживающих в аварийном жилищном фонде </w:t>
      </w:r>
      <w:r w:rsidR="00376722">
        <w:rPr>
          <w:rFonts w:ascii="Times New Roman" w:eastAsia="Times New Roman" w:hAnsi="Times New Roman" w:cs="Times New Roman"/>
          <w:sz w:val="24"/>
          <w:szCs w:val="24"/>
        </w:rPr>
        <w:t>Береславского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благоустроенными жилыми помещениями и ликвидация на территории муниципального образования аварийного жилищного фонда.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b/>
          <w:sz w:val="24"/>
          <w:szCs w:val="24"/>
        </w:rPr>
        <w:t>8. Исполнители Программы: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376722">
        <w:rPr>
          <w:rFonts w:ascii="Times New Roman" w:eastAsia="Times New Roman" w:hAnsi="Times New Roman" w:cs="Times New Roman"/>
          <w:spacing w:val="2"/>
          <w:sz w:val="24"/>
          <w:szCs w:val="24"/>
        </w:rPr>
        <w:t>Береславского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8F185D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b/>
          <w:sz w:val="24"/>
          <w:szCs w:val="24"/>
        </w:rPr>
        <w:t>9. Контроль за ходом реализации Программы</w:t>
      </w:r>
    </w:p>
    <w:p w:rsidR="00210D10" w:rsidRPr="00AB1301" w:rsidRDefault="00210D10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Default="008F185D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Программы осуществляет администрация </w:t>
      </w:r>
      <w:r w:rsidR="00376722">
        <w:rPr>
          <w:rFonts w:ascii="Times New Roman" w:eastAsia="Times New Roman" w:hAnsi="Times New Roman" w:cs="Times New Roman"/>
          <w:spacing w:val="2"/>
          <w:sz w:val="24"/>
          <w:szCs w:val="24"/>
        </w:rPr>
        <w:t>Береславского</w:t>
      </w:r>
      <w:r w:rsidRPr="00AB13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C74EF" w:rsidRDefault="00CC74EF" w:rsidP="00AB1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4EF" w:rsidRPr="00CC74EF" w:rsidRDefault="00CC74EF" w:rsidP="00CC7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b/>
          <w:sz w:val="24"/>
          <w:szCs w:val="24"/>
        </w:rPr>
        <w:t>10. Оценка социально-экономической эффективности реализации Программы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Оценка эффективности действия муниципальной программы проводится ежегодно по результатам отчетного года.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по следующим критериям: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- степень достижения целей и задач Программы;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- степень эффективности использования бюджетных средств.</w:t>
      </w:r>
    </w:p>
    <w:p w:rsidR="00CC74EF" w:rsidRPr="00CC74EF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CC74EF" w:rsidRPr="00AB1301" w:rsidRDefault="00CC74EF" w:rsidP="00CC74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4EF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C14C26" w:rsidRPr="00AB1301" w:rsidRDefault="00C14C26" w:rsidP="00AB1301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1F2746" w:rsidRPr="00AB1301" w:rsidRDefault="001F2746" w:rsidP="00AB1301">
      <w:pPr>
        <w:suppressAutoHyphens/>
        <w:spacing w:after="0" w:line="240" w:lineRule="auto"/>
        <w:rPr>
          <w:rFonts w:ascii="Times New Roman" w:eastAsia="Calibri" w:hAnsi="Times New Roman" w:cs="Times New Roman"/>
        </w:rPr>
        <w:sectPr w:rsidR="001F2746" w:rsidRPr="00AB1301" w:rsidSect="001F27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14C26" w:rsidRPr="00AB1301" w:rsidRDefault="00C14C26" w:rsidP="00AB1301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210D10" w:rsidRPr="00AB1301" w:rsidRDefault="008F185D" w:rsidP="00AB13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B1301">
        <w:rPr>
          <w:rFonts w:ascii="Times New Roman" w:eastAsia="Times New Roman" w:hAnsi="Times New Roman" w:cs="Times New Roman"/>
        </w:rPr>
        <w:t>Приложение 1</w:t>
      </w:r>
    </w:p>
    <w:p w:rsidR="00210D10" w:rsidRPr="00AB1301" w:rsidRDefault="008F185D" w:rsidP="00AB13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B1301">
        <w:rPr>
          <w:rFonts w:ascii="Times New Roman" w:eastAsia="Times New Roman" w:hAnsi="Times New Roman" w:cs="Times New Roman"/>
        </w:rPr>
        <w:t>к муниципальной программе</w:t>
      </w:r>
    </w:p>
    <w:p w:rsidR="00210D10" w:rsidRPr="00AB1301" w:rsidRDefault="00210D10" w:rsidP="00AB1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0D10" w:rsidRPr="00AB1301" w:rsidRDefault="008F185D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1301">
        <w:rPr>
          <w:rFonts w:ascii="Times New Roman" w:eastAsia="Times New Roman" w:hAnsi="Times New Roman" w:cs="Times New Roman"/>
          <w:b/>
        </w:rPr>
        <w:t>ПЕРЕЧЕНЬ</w:t>
      </w:r>
    </w:p>
    <w:p w:rsidR="00210D10" w:rsidRPr="00AB1301" w:rsidRDefault="00AB1301" w:rsidP="00AB1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1301">
        <w:rPr>
          <w:rFonts w:ascii="Times New Roman" w:eastAsia="Times New Roman" w:hAnsi="Times New Roman" w:cs="Times New Roman"/>
          <w:b/>
        </w:rPr>
        <w:t>многоквартирных домов, признанных аварийными до 01.01.20</w:t>
      </w:r>
      <w:r w:rsidR="00376722">
        <w:rPr>
          <w:rFonts w:ascii="Times New Roman" w:eastAsia="Times New Roman" w:hAnsi="Times New Roman" w:cs="Times New Roman"/>
          <w:b/>
        </w:rPr>
        <w:t>22</w:t>
      </w:r>
      <w:r w:rsidRPr="00AB1301">
        <w:rPr>
          <w:rFonts w:ascii="Times New Roman" w:eastAsia="Times New Roman" w:hAnsi="Times New Roman" w:cs="Times New Roman"/>
          <w:b/>
        </w:rPr>
        <w:t xml:space="preserve"> г.</w:t>
      </w:r>
    </w:p>
    <w:p w:rsidR="00210D10" w:rsidRPr="00AB1301" w:rsidRDefault="00210D10" w:rsidP="00AB1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451"/>
        <w:gridCol w:w="1462"/>
        <w:gridCol w:w="1592"/>
        <w:gridCol w:w="1268"/>
        <w:gridCol w:w="1592"/>
        <w:gridCol w:w="1135"/>
        <w:gridCol w:w="1264"/>
        <w:gridCol w:w="1212"/>
        <w:gridCol w:w="1592"/>
        <w:gridCol w:w="1055"/>
        <w:gridCol w:w="1580"/>
        <w:gridCol w:w="1411"/>
      </w:tblGrid>
      <w:tr w:rsidR="00AB1301" w:rsidRPr="00AB1301" w:rsidTr="00AB1301">
        <w:trPr>
          <w:trHeight w:val="1"/>
        </w:trPr>
        <w:tc>
          <w:tcPr>
            <w:tcW w:w="452" w:type="dxa"/>
            <w:vMerge w:val="restart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N п/п</w:t>
            </w:r>
          </w:p>
        </w:tc>
        <w:tc>
          <w:tcPr>
            <w:tcW w:w="1468" w:type="dxa"/>
            <w:vMerge w:val="restart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1599" w:type="dxa"/>
            <w:vMerge w:val="restart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Адрес многоквартирного дома</w:t>
            </w:r>
          </w:p>
        </w:tc>
        <w:tc>
          <w:tcPr>
            <w:tcW w:w="1273" w:type="dxa"/>
            <w:vMerge w:val="restart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Год ввода дома в эксплуатацию</w:t>
            </w:r>
          </w:p>
        </w:tc>
        <w:tc>
          <w:tcPr>
            <w:tcW w:w="1599" w:type="dxa"/>
            <w:vMerge w:val="restart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Дата признания многоквартирного дома аварийным</w:t>
            </w:r>
          </w:p>
        </w:tc>
        <w:tc>
          <w:tcPr>
            <w:tcW w:w="2409" w:type="dxa"/>
            <w:gridSpan w:val="2"/>
          </w:tcPr>
          <w:p w:rsidR="00AB1301" w:rsidRPr="00AB1301" w:rsidRDefault="00AB1301" w:rsidP="00C87D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 xml:space="preserve">Сведения об аварийном жилищном фонде, подлежащем расселению до </w:t>
            </w:r>
            <w:r w:rsidR="00C87DD9">
              <w:rPr>
                <w:rFonts w:ascii="Times New Roman" w:eastAsia="Times New Roman" w:hAnsi="Times New Roman" w:cs="Times New Roman"/>
                <w:sz w:val="20"/>
              </w:rPr>
              <w:t>00.00.20__</w:t>
            </w:r>
            <w:r w:rsidRPr="00AB1301">
              <w:rPr>
                <w:rFonts w:ascii="Times New Roman" w:eastAsia="Times New Roman" w:hAnsi="Times New Roman" w:cs="Times New Roman"/>
                <w:sz w:val="20"/>
              </w:rPr>
              <w:t> г.</w:t>
            </w:r>
          </w:p>
        </w:tc>
        <w:tc>
          <w:tcPr>
            <w:tcW w:w="1217" w:type="dxa"/>
            <w:vMerge w:val="restart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Планируемая дата окончания переселения</w:t>
            </w:r>
          </w:p>
        </w:tc>
        <w:tc>
          <w:tcPr>
            <w:tcW w:w="1599" w:type="dxa"/>
            <w:vMerge w:val="restart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Площадь застройки многоквартирного дома, кв. метров</w:t>
            </w:r>
          </w:p>
        </w:tc>
        <w:tc>
          <w:tcPr>
            <w:tcW w:w="3607" w:type="dxa"/>
            <w:gridSpan w:val="3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AB1301" w:rsidRPr="00AB1301" w:rsidTr="00AB1301">
        <w:trPr>
          <w:trHeight w:val="1"/>
        </w:trPr>
        <w:tc>
          <w:tcPr>
            <w:tcW w:w="452" w:type="dxa"/>
            <w:vMerge/>
          </w:tcPr>
          <w:p w:rsidR="00AB1301" w:rsidRPr="00AB1301" w:rsidRDefault="00AB1301" w:rsidP="00AB1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</w:tcPr>
          <w:p w:rsidR="00AB1301" w:rsidRPr="00AB1301" w:rsidRDefault="00AB1301" w:rsidP="00AB1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9" w:type="dxa"/>
            <w:vMerge/>
          </w:tcPr>
          <w:p w:rsidR="00AB1301" w:rsidRPr="00AB1301" w:rsidRDefault="00AB1301" w:rsidP="00AB1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vMerge/>
          </w:tcPr>
          <w:p w:rsidR="00AB1301" w:rsidRPr="00AB1301" w:rsidRDefault="00AB1301" w:rsidP="00AB1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9" w:type="dxa"/>
            <w:vMerge/>
          </w:tcPr>
          <w:p w:rsidR="00AB1301" w:rsidRPr="00AB1301" w:rsidRDefault="00AB1301" w:rsidP="00AB1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Расселяемая площадь, кв. метров</w:t>
            </w:r>
          </w:p>
        </w:tc>
        <w:tc>
          <w:tcPr>
            <w:tcW w:w="1270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Численность переселяемых граждан, человек</w:t>
            </w:r>
          </w:p>
        </w:tc>
        <w:tc>
          <w:tcPr>
            <w:tcW w:w="1217" w:type="dxa"/>
            <w:vMerge/>
          </w:tcPr>
          <w:p w:rsidR="00AB1301" w:rsidRPr="00AB1301" w:rsidRDefault="00AB1301" w:rsidP="00AB1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</w:tcPr>
          <w:p w:rsidR="00AB1301" w:rsidRPr="00AB1301" w:rsidRDefault="00AB1301" w:rsidP="00AB1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Площадь земельного участка, кв. метров</w:t>
            </w:r>
          </w:p>
        </w:tc>
        <w:tc>
          <w:tcPr>
            <w:tcW w:w="1169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378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AB1301" w:rsidRPr="00AB1301" w:rsidTr="00AB1301">
        <w:trPr>
          <w:trHeight w:val="1"/>
        </w:trPr>
        <w:tc>
          <w:tcPr>
            <w:tcW w:w="452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68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99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99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9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70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17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599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60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69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378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B1301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AB1301" w:rsidRPr="00AB1301" w:rsidTr="00AB1301">
        <w:trPr>
          <w:trHeight w:val="1"/>
        </w:trPr>
        <w:tc>
          <w:tcPr>
            <w:tcW w:w="452" w:type="dxa"/>
          </w:tcPr>
          <w:p w:rsidR="00AB1301" w:rsidRPr="00AB1301" w:rsidRDefault="00AB1301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</w:tcPr>
          <w:p w:rsidR="00AB1301" w:rsidRPr="00AB1301" w:rsidRDefault="00270A8F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Береславское сельское поселение Калачевского муниципального района Волгоградской области</w:t>
            </w:r>
          </w:p>
        </w:tc>
        <w:tc>
          <w:tcPr>
            <w:tcW w:w="1599" w:type="dxa"/>
          </w:tcPr>
          <w:p w:rsidR="00AB1301" w:rsidRPr="00AB1301" w:rsidRDefault="00270A8F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п. Береславка д.34.</w:t>
            </w:r>
          </w:p>
        </w:tc>
        <w:tc>
          <w:tcPr>
            <w:tcW w:w="1273" w:type="dxa"/>
          </w:tcPr>
          <w:p w:rsidR="00AB1301" w:rsidRPr="00AB1301" w:rsidRDefault="001F0A8C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1978</w:t>
            </w:r>
          </w:p>
        </w:tc>
        <w:tc>
          <w:tcPr>
            <w:tcW w:w="1599" w:type="dxa"/>
          </w:tcPr>
          <w:p w:rsidR="00AB1301" w:rsidRPr="00AB1301" w:rsidRDefault="00270A8F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6.08.2021</w:t>
            </w:r>
          </w:p>
        </w:tc>
        <w:tc>
          <w:tcPr>
            <w:tcW w:w="1139" w:type="dxa"/>
          </w:tcPr>
          <w:p w:rsidR="00AB1301" w:rsidRPr="00AB1301" w:rsidRDefault="00270A8F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4271,8</w:t>
            </w:r>
          </w:p>
        </w:tc>
        <w:tc>
          <w:tcPr>
            <w:tcW w:w="1270" w:type="dxa"/>
          </w:tcPr>
          <w:p w:rsidR="00AB1301" w:rsidRPr="00AB1301" w:rsidRDefault="00270A8F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217" w:type="dxa"/>
          </w:tcPr>
          <w:p w:rsidR="00AB1301" w:rsidRPr="00AB1301" w:rsidRDefault="00611247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31.12.2024</w:t>
            </w:r>
          </w:p>
        </w:tc>
        <w:tc>
          <w:tcPr>
            <w:tcW w:w="1599" w:type="dxa"/>
          </w:tcPr>
          <w:p w:rsidR="00AB1301" w:rsidRPr="00AB1301" w:rsidRDefault="001F0A8C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1193</w:t>
            </w:r>
          </w:p>
        </w:tc>
        <w:tc>
          <w:tcPr>
            <w:tcW w:w="1060" w:type="dxa"/>
          </w:tcPr>
          <w:p w:rsidR="00AB1301" w:rsidRPr="00AB1301" w:rsidRDefault="001F0A8C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1193</w:t>
            </w:r>
          </w:p>
        </w:tc>
        <w:tc>
          <w:tcPr>
            <w:tcW w:w="1169" w:type="dxa"/>
          </w:tcPr>
          <w:p w:rsidR="00AB1301" w:rsidRPr="00AB1301" w:rsidRDefault="001F0A8C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34:09:050427:0005</w:t>
            </w:r>
          </w:p>
        </w:tc>
        <w:tc>
          <w:tcPr>
            <w:tcW w:w="1378" w:type="dxa"/>
          </w:tcPr>
          <w:p w:rsidR="00AB1301" w:rsidRPr="00AB1301" w:rsidRDefault="001F0A8C" w:rsidP="00AB13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Сформирован под одним домом</w:t>
            </w:r>
          </w:p>
        </w:tc>
      </w:tr>
    </w:tbl>
    <w:p w:rsidR="00AB1301" w:rsidRPr="00AB1301" w:rsidRDefault="00AB1301" w:rsidP="00AB1301">
      <w:pPr>
        <w:spacing w:after="0" w:line="240" w:lineRule="auto"/>
        <w:rPr>
          <w:rFonts w:ascii="Times New Roman" w:hAnsi="Times New Roman" w:cs="Times New Roman"/>
        </w:rPr>
      </w:pPr>
    </w:p>
    <w:p w:rsidR="00C14C26" w:rsidRPr="00AB1301" w:rsidRDefault="00C14C26" w:rsidP="00AB1301">
      <w:pPr>
        <w:spacing w:after="0" w:line="240" w:lineRule="auto"/>
        <w:rPr>
          <w:rFonts w:ascii="Times New Roman" w:hAnsi="Times New Roman" w:cs="Times New Roman"/>
        </w:rPr>
      </w:pPr>
      <w:r w:rsidRPr="00AB1301">
        <w:rPr>
          <w:rFonts w:ascii="Times New Roman" w:hAnsi="Times New Roman" w:cs="Times New Roman"/>
        </w:rPr>
        <w:br w:type="page"/>
      </w:r>
    </w:p>
    <w:p w:rsidR="00C14C26" w:rsidRPr="00AB1301" w:rsidRDefault="00C14C26" w:rsidP="00AB1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14C26" w:rsidRPr="00AB1301" w:rsidRDefault="00C14C26" w:rsidP="00AB1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B1301">
        <w:rPr>
          <w:rFonts w:ascii="Times New Roman" w:hAnsi="Times New Roman" w:cs="Times New Roman"/>
        </w:rPr>
        <w:t xml:space="preserve">Приложение </w:t>
      </w:r>
      <w:r w:rsidR="00F23F89" w:rsidRPr="00AB1301">
        <w:rPr>
          <w:rFonts w:ascii="Times New Roman" w:hAnsi="Times New Roman" w:cs="Times New Roman"/>
        </w:rPr>
        <w:t>2</w:t>
      </w:r>
    </w:p>
    <w:p w:rsidR="00C14C26" w:rsidRPr="00AB1301" w:rsidRDefault="00C14C26" w:rsidP="00AB1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B1301">
        <w:rPr>
          <w:rFonts w:ascii="Times New Roman" w:hAnsi="Times New Roman" w:cs="Times New Roman"/>
        </w:rPr>
        <w:t>к муниципальной программе</w:t>
      </w:r>
    </w:p>
    <w:p w:rsidR="00C14C26" w:rsidRPr="00AB1301" w:rsidRDefault="00C14C26" w:rsidP="00AB1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14C26" w:rsidRPr="00AB1301" w:rsidRDefault="00C14C26" w:rsidP="00AB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B1301">
        <w:rPr>
          <w:rFonts w:ascii="Times New Roman" w:hAnsi="Times New Roman" w:cs="Times New Roman"/>
          <w:b/>
          <w:bCs/>
          <w:iCs/>
        </w:rPr>
        <w:t>ПЛАН</w:t>
      </w:r>
    </w:p>
    <w:p w:rsidR="00C14C26" w:rsidRPr="00AB1301" w:rsidRDefault="00AB1301" w:rsidP="00AB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B1301">
        <w:rPr>
          <w:rFonts w:ascii="Times New Roman" w:hAnsi="Times New Roman" w:cs="Times New Roman"/>
          <w:b/>
          <w:bCs/>
          <w:iCs/>
        </w:rPr>
        <w:t xml:space="preserve">реализации мероприятий по переселению граждан из аварийногожилищного фонда, признанного таковым до </w:t>
      </w:r>
      <w:r w:rsidR="00376722">
        <w:rPr>
          <w:rFonts w:ascii="Times New Roman" w:hAnsi="Times New Roman" w:cs="Times New Roman"/>
          <w:b/>
          <w:bCs/>
          <w:iCs/>
        </w:rPr>
        <w:t>01.01.20</w:t>
      </w:r>
      <w:r w:rsidR="0035151E">
        <w:rPr>
          <w:rFonts w:ascii="Times New Roman" w:hAnsi="Times New Roman" w:cs="Times New Roman"/>
          <w:b/>
          <w:bCs/>
          <w:iCs/>
        </w:rPr>
        <w:t>22</w:t>
      </w:r>
      <w:r w:rsidRPr="00AB1301">
        <w:rPr>
          <w:rFonts w:ascii="Times New Roman" w:hAnsi="Times New Roman" w:cs="Times New Roman"/>
          <w:b/>
          <w:bCs/>
          <w:iCs/>
        </w:rPr>
        <w:t xml:space="preserve"> г.</w:t>
      </w:r>
      <w:r w:rsidR="00DC14E9">
        <w:rPr>
          <w:rFonts w:ascii="Times New Roman" w:hAnsi="Times New Roman" w:cs="Times New Roman"/>
          <w:b/>
          <w:bCs/>
          <w:iCs/>
        </w:rPr>
        <w:t xml:space="preserve"> </w:t>
      </w:r>
    </w:p>
    <w:p w:rsidR="00C14C26" w:rsidRPr="00AB1301" w:rsidRDefault="00C14C26" w:rsidP="00AB1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W w:w="1460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42"/>
        <w:gridCol w:w="1277"/>
        <w:gridCol w:w="993"/>
        <w:gridCol w:w="1417"/>
        <w:gridCol w:w="1276"/>
        <w:gridCol w:w="1843"/>
        <w:gridCol w:w="1417"/>
        <w:gridCol w:w="1273"/>
        <w:gridCol w:w="793"/>
        <w:gridCol w:w="1053"/>
        <w:gridCol w:w="1417"/>
        <w:gridCol w:w="1418"/>
        <w:gridCol w:w="8"/>
      </w:tblGrid>
      <w:tr w:rsidR="009E0BFE" w:rsidRPr="00AB1301" w:rsidTr="005519B1">
        <w:trPr>
          <w:gridAfter w:val="1"/>
          <w:wAfter w:w="8" w:type="dxa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Всего расселяемая площадь жилых помещений, кв. метров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Всего стоимость мероприятий по переселению, рублей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Мероприятия по переселению, не связанные с приобретением жилых помещений</w:t>
            </w:r>
          </w:p>
        </w:tc>
      </w:tr>
      <w:tr w:rsidR="009E0BFE" w:rsidRPr="00AB1301" w:rsidTr="005519B1">
        <w:trPr>
          <w:gridAfter w:val="1"/>
          <w:wAfter w:w="8" w:type="dxa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Всего расселяемая площадь, кв. метров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9E0BFE" w:rsidRPr="00AB1301" w:rsidTr="005519B1">
        <w:trPr>
          <w:gridAfter w:val="1"/>
          <w:wAfter w:w="8" w:type="dxa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Переселение в свободный жилищный фонд</w:t>
            </w:r>
          </w:p>
        </w:tc>
      </w:tr>
      <w:tr w:rsidR="009E0BFE" w:rsidRPr="00AB1301" w:rsidTr="005519B1">
        <w:trPr>
          <w:gridAfter w:val="1"/>
          <w:wAfter w:w="8" w:type="dxa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Расселяемая площадь,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Стоимость возмещения, рублей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Субсидия на приобретение (строительство) жилых помещений, рублей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Субсидия на возмещение части расходов на уплату процентов за пользование займом или кредитом, рублей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Расселяемая площадь,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Субсидия на возмещение расходов по договорам о комплексном и устойчивом развитии территорий,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Расселяемая площадь, кв. метров</w:t>
            </w:r>
          </w:p>
        </w:tc>
      </w:tr>
      <w:tr w:rsidR="009E0BFE" w:rsidRPr="00AB1301" w:rsidTr="005519B1">
        <w:trPr>
          <w:gridAfter w:val="1"/>
          <w:wAfter w:w="8" w:type="dxa"/>
          <w:trHeight w:val="353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E0BFE" w:rsidRPr="00AB1301" w:rsidTr="005519B1">
        <w:trPr>
          <w:gridAfter w:val="1"/>
          <w:wAfter w:w="8" w:type="dxa"/>
          <w:trHeight w:val="503"/>
        </w:trPr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Береславское сельское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ind w:left="-3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4271,8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E0BFE" w:rsidRPr="00AB1301" w:rsidTr="005519B1">
        <w:trPr>
          <w:gridAfter w:val="1"/>
          <w:wAfter w:w="8" w:type="dxa"/>
          <w:trHeight w:val="503"/>
        </w:trPr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734BF6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ind w:left="-3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4BF6">
              <w:rPr>
                <w:rFonts w:ascii="Times New Roman" w:eastAsia="Times New Roman" w:hAnsi="Times New Roman" w:cs="Times New Roman"/>
                <w:b/>
              </w:rPr>
              <w:t>Итого за 2022 год</w:t>
            </w:r>
          </w:p>
        </w:tc>
        <w:tc>
          <w:tcPr>
            <w:tcW w:w="119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734BF6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4BF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E0BFE" w:rsidRPr="00AB1301" w:rsidTr="005519B1">
        <w:trPr>
          <w:gridAfter w:val="1"/>
          <w:wAfter w:w="8" w:type="dxa"/>
          <w:trHeight w:val="503"/>
        </w:trPr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ind w:left="-3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ind w:left="-3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ББереславское сельское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ind w:left="-3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4271,8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E0BFE" w:rsidRPr="00AB1301" w:rsidTr="005519B1">
        <w:trPr>
          <w:gridAfter w:val="1"/>
          <w:wAfter w:w="8" w:type="dxa"/>
          <w:trHeight w:val="503"/>
        </w:trPr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734BF6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ind w:left="-3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2023 год</w:t>
            </w:r>
          </w:p>
        </w:tc>
        <w:tc>
          <w:tcPr>
            <w:tcW w:w="119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734BF6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BF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E0BFE" w:rsidRPr="00AB1301" w:rsidTr="005519B1">
        <w:trPr>
          <w:gridAfter w:val="1"/>
          <w:wAfter w:w="8" w:type="dxa"/>
          <w:trHeight w:val="503"/>
        </w:trPr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ind w:left="-3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ind w:left="-3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ББереславское сельское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ind w:left="-3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4271,8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BFE" w:rsidRPr="00AB1301" w:rsidTr="005519B1">
        <w:trPr>
          <w:gridAfter w:val="1"/>
          <w:wAfter w:w="8" w:type="dxa"/>
          <w:trHeight w:val="503"/>
        </w:trPr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Pr="00A52984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ind w:left="-3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52984">
              <w:rPr>
                <w:rFonts w:ascii="Times New Roman" w:eastAsia="Times New Roman" w:hAnsi="Times New Roman" w:cs="Times New Roman"/>
                <w:b/>
                <w:sz w:val="20"/>
              </w:rPr>
              <w:t>Итого за 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1405A3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E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BFE" w:rsidRPr="00AB1301" w:rsidTr="005519B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4609" w:type="dxa"/>
            <w:gridSpan w:val="14"/>
            <w:tcBorders>
              <w:top w:val="single" w:sz="4" w:space="0" w:color="auto"/>
            </w:tcBorders>
          </w:tcPr>
          <w:p w:rsidR="009E0BFE" w:rsidRPr="00AB1301" w:rsidRDefault="009E0BFE" w:rsidP="00551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1301" w:rsidRPr="00AB1301" w:rsidRDefault="00AB1301" w:rsidP="00AB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301" w:rsidRPr="00AB1301" w:rsidRDefault="00AB1301">
      <w:pPr>
        <w:rPr>
          <w:rFonts w:ascii="Times New Roman" w:hAnsi="Times New Roman" w:cs="Times New Roman"/>
        </w:rPr>
      </w:pPr>
      <w:r w:rsidRPr="00AB1301">
        <w:rPr>
          <w:rFonts w:ascii="Times New Roman" w:hAnsi="Times New Roman" w:cs="Times New Roman"/>
        </w:rPr>
        <w:br w:type="page"/>
      </w:r>
    </w:p>
    <w:p w:rsidR="00C14C26" w:rsidRPr="00AB1301" w:rsidRDefault="00C14C26" w:rsidP="00AB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7DD9" w:rsidRDefault="00C87DD9" w:rsidP="00AB1301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C87DD9" w:rsidRDefault="00C87DD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CC74EF" w:rsidRPr="00AB1301" w:rsidRDefault="00CC74EF" w:rsidP="00CC74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B130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CC74EF" w:rsidRPr="00AB1301" w:rsidRDefault="00CC74EF" w:rsidP="00CC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B1301">
        <w:rPr>
          <w:rFonts w:ascii="Times New Roman" w:hAnsi="Times New Roman" w:cs="Times New Roman"/>
        </w:rPr>
        <w:t>к муниципальной программе</w:t>
      </w:r>
    </w:p>
    <w:p w:rsidR="00C87DD9" w:rsidRPr="00C87DD9" w:rsidRDefault="00C87DD9" w:rsidP="00C87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DD9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87DD9" w:rsidRPr="00C87DD9" w:rsidRDefault="00C87DD9" w:rsidP="00C87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DD9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Программы и их значениях</w:t>
      </w:r>
    </w:p>
    <w:p w:rsidR="00C87DD9" w:rsidRPr="00C87DD9" w:rsidRDefault="00C87DD9" w:rsidP="00C87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9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5866"/>
        <w:gridCol w:w="1814"/>
        <w:gridCol w:w="1119"/>
        <w:gridCol w:w="1134"/>
        <w:gridCol w:w="1275"/>
      </w:tblGrid>
      <w:tr w:rsidR="0035151E" w:rsidRPr="00C87DD9" w:rsidTr="0035151E">
        <w:trPr>
          <w:gridAfter w:val="3"/>
          <w:wAfter w:w="3528" w:type="dxa"/>
          <w:trHeight w:val="33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5151E" w:rsidRPr="00C87DD9" w:rsidTr="0035151E">
        <w:trPr>
          <w:trHeight w:val="562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151E" w:rsidRPr="00C87DD9" w:rsidTr="0035151E">
        <w:trPr>
          <w:trHeight w:val="15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жилых помещений, по которым проведена оценка с целью обеспечения реализации прав собственников жилых помещений на выбор способа переселения;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151E"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151E"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51E" w:rsidRPr="00C87DD9" w:rsidTr="0035151E">
        <w:trPr>
          <w:trHeight w:val="6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площадь, подлежащая расселению в соответствии со ст. 32 ЖК РФ;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5224,6</w:t>
            </w:r>
          </w:p>
        </w:tc>
      </w:tr>
      <w:tr w:rsidR="0035151E" w:rsidRPr="00C87DD9" w:rsidTr="0035151E">
        <w:trPr>
          <w:trHeight w:val="4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граждан, подлежащих расселению;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3A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5151E" w:rsidRPr="00C87DD9" w:rsidTr="0035151E">
        <w:trPr>
          <w:trHeight w:val="4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Default="0035151E" w:rsidP="00C8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расселяемых жилых помещений;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5151E" w:rsidRPr="00C87DD9" w:rsidTr="0035151E">
        <w:trPr>
          <w:trHeight w:val="4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Default="0035151E" w:rsidP="00C8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87DD9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аварийного жилищного фонда, подлежащего сносу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5151E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1E" w:rsidRPr="00C87DD9" w:rsidRDefault="003A48F2" w:rsidP="00C8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7DD9" w:rsidRPr="00C87DD9" w:rsidRDefault="00C87DD9" w:rsidP="00C87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10" w:rsidRPr="00AB1301" w:rsidRDefault="00210D10" w:rsidP="00AB1301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sectPr w:rsidR="00210D10" w:rsidRPr="00AB1301" w:rsidSect="00AB130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54" w:rsidRDefault="00213454" w:rsidP="00C648D5">
      <w:pPr>
        <w:spacing w:after="0" w:line="240" w:lineRule="auto"/>
      </w:pPr>
      <w:r>
        <w:separator/>
      </w:r>
    </w:p>
  </w:endnote>
  <w:endnote w:type="continuationSeparator" w:id="1">
    <w:p w:rsidR="00213454" w:rsidRDefault="00213454" w:rsidP="00C6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D5" w:rsidRDefault="00C648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D5" w:rsidRDefault="00C648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D5" w:rsidRDefault="00C648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54" w:rsidRDefault="00213454" w:rsidP="00C648D5">
      <w:pPr>
        <w:spacing w:after="0" w:line="240" w:lineRule="auto"/>
      </w:pPr>
      <w:r>
        <w:separator/>
      </w:r>
    </w:p>
  </w:footnote>
  <w:footnote w:type="continuationSeparator" w:id="1">
    <w:p w:rsidR="00213454" w:rsidRDefault="00213454" w:rsidP="00C6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D5" w:rsidRDefault="00C648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D5" w:rsidRDefault="00C648D5">
    <w:pPr>
      <w:pStyle w:val="a9"/>
    </w:pPr>
    <w:r>
      <w:tab/>
    </w:r>
    <w:r>
      <w:tab/>
    </w:r>
    <w:r>
      <w:rPr>
        <w:rFonts w:ascii="Times New Roman" w:hAnsi="Times New Roman"/>
        <w:b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D5" w:rsidRDefault="00C648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3053"/>
    <w:multiLevelType w:val="multilevel"/>
    <w:tmpl w:val="1C6A4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3711B"/>
    <w:multiLevelType w:val="multilevel"/>
    <w:tmpl w:val="C6786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D10"/>
    <w:rsid w:val="00122CED"/>
    <w:rsid w:val="00130C6E"/>
    <w:rsid w:val="001405A3"/>
    <w:rsid w:val="001F0A8C"/>
    <w:rsid w:val="001F2746"/>
    <w:rsid w:val="00201327"/>
    <w:rsid w:val="00210D10"/>
    <w:rsid w:val="00213454"/>
    <w:rsid w:val="00270A8F"/>
    <w:rsid w:val="002D76E4"/>
    <w:rsid w:val="0035151E"/>
    <w:rsid w:val="00376722"/>
    <w:rsid w:val="003A48F2"/>
    <w:rsid w:val="005D3417"/>
    <w:rsid w:val="00611247"/>
    <w:rsid w:val="006C633E"/>
    <w:rsid w:val="007308B2"/>
    <w:rsid w:val="00805CDF"/>
    <w:rsid w:val="00883F71"/>
    <w:rsid w:val="008F185D"/>
    <w:rsid w:val="00942F40"/>
    <w:rsid w:val="00996420"/>
    <w:rsid w:val="009E0BFE"/>
    <w:rsid w:val="00A1237C"/>
    <w:rsid w:val="00A234F0"/>
    <w:rsid w:val="00A65A59"/>
    <w:rsid w:val="00AB1301"/>
    <w:rsid w:val="00C14C26"/>
    <w:rsid w:val="00C43784"/>
    <w:rsid w:val="00C648D5"/>
    <w:rsid w:val="00C87DD9"/>
    <w:rsid w:val="00CC74EF"/>
    <w:rsid w:val="00CD1425"/>
    <w:rsid w:val="00DC14E9"/>
    <w:rsid w:val="00E10030"/>
    <w:rsid w:val="00F23F89"/>
    <w:rsid w:val="00F94E35"/>
    <w:rsid w:val="00FA28C8"/>
    <w:rsid w:val="00FF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301"/>
    <w:pPr>
      <w:ind w:left="720"/>
      <w:contextualSpacing/>
    </w:pPr>
  </w:style>
  <w:style w:type="paragraph" w:styleId="a5">
    <w:name w:val="No Spacing"/>
    <w:link w:val="a6"/>
    <w:uiPriority w:val="1"/>
    <w:qFormat/>
    <w:rsid w:val="00E100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E10030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"/>
    <w:uiPriority w:val="99"/>
    <w:semiHidden/>
    <w:unhideWhenUsed/>
    <w:rsid w:val="00FF584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F584C"/>
  </w:style>
  <w:style w:type="character" w:customStyle="1" w:styleId="1">
    <w:name w:val="Нижний колонтитул Знак1"/>
    <w:basedOn w:val="a0"/>
    <w:link w:val="a7"/>
    <w:uiPriority w:val="99"/>
    <w:semiHidden/>
    <w:locked/>
    <w:rsid w:val="00FF584C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C6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6</cp:revision>
  <cp:lastPrinted>2022-11-08T06:36:00Z</cp:lastPrinted>
  <dcterms:created xsi:type="dcterms:W3CDTF">2021-11-17T08:40:00Z</dcterms:created>
  <dcterms:modified xsi:type="dcterms:W3CDTF">2022-11-08T06:36:00Z</dcterms:modified>
</cp:coreProperties>
</file>